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2BF" w:rsidRPr="00384CDF" w:rsidRDefault="005D2EF8" w:rsidP="00663468">
      <w:pPr>
        <w:pStyle w:val="a3"/>
        <w:spacing w:before="65" w:line="276" w:lineRule="auto"/>
        <w:ind w:left="6663"/>
        <w:jc w:val="left"/>
        <w:rPr>
          <w:rFonts w:ascii="Tahoma" w:hAnsi="Tahoma" w:cs="Tahoma"/>
          <w:sz w:val="20"/>
          <w:szCs w:val="20"/>
        </w:rPr>
      </w:pPr>
      <w:r w:rsidRPr="00384CDF">
        <w:rPr>
          <w:rFonts w:ascii="Tahoma" w:hAnsi="Tahoma" w:cs="Tahoma"/>
          <w:sz w:val="20"/>
          <w:szCs w:val="20"/>
        </w:rPr>
        <w:t>Утвержден</w:t>
      </w:r>
    </w:p>
    <w:p w:rsidR="00027240" w:rsidRPr="00384CDF" w:rsidRDefault="00027240" w:rsidP="00663468">
      <w:pPr>
        <w:pStyle w:val="a3"/>
        <w:spacing w:line="276" w:lineRule="auto"/>
        <w:ind w:left="6663" w:right="487"/>
        <w:jc w:val="left"/>
        <w:rPr>
          <w:rFonts w:ascii="Tahoma" w:hAnsi="Tahoma" w:cs="Tahoma"/>
          <w:sz w:val="20"/>
          <w:szCs w:val="20"/>
        </w:rPr>
      </w:pPr>
      <w:r w:rsidRPr="00384CDF">
        <w:rPr>
          <w:rFonts w:ascii="Tahoma" w:hAnsi="Tahoma" w:cs="Tahoma"/>
          <w:sz w:val="20"/>
          <w:szCs w:val="20"/>
        </w:rPr>
        <w:t xml:space="preserve">Приказом </w:t>
      </w:r>
      <w:r w:rsidR="00CC5E78" w:rsidRPr="00384CDF">
        <w:rPr>
          <w:rFonts w:ascii="Tahoma" w:hAnsi="Tahoma" w:cs="Tahoma"/>
          <w:sz w:val="20"/>
          <w:szCs w:val="20"/>
        </w:rPr>
        <w:t>Г</w:t>
      </w:r>
      <w:r w:rsidR="005D2EF8" w:rsidRPr="00384CDF">
        <w:rPr>
          <w:rFonts w:ascii="Tahoma" w:hAnsi="Tahoma" w:cs="Tahoma"/>
          <w:sz w:val="20"/>
          <w:szCs w:val="20"/>
        </w:rPr>
        <w:t xml:space="preserve">енерального директора </w:t>
      </w:r>
    </w:p>
    <w:p w:rsidR="007C52BF" w:rsidRPr="00384CDF" w:rsidRDefault="00CC5E78" w:rsidP="00663468">
      <w:pPr>
        <w:pStyle w:val="a3"/>
        <w:spacing w:line="276" w:lineRule="auto"/>
        <w:ind w:left="6663" w:right="487"/>
        <w:jc w:val="left"/>
        <w:rPr>
          <w:rFonts w:ascii="Tahoma" w:hAnsi="Tahoma" w:cs="Tahoma"/>
          <w:sz w:val="20"/>
          <w:szCs w:val="20"/>
        </w:rPr>
      </w:pPr>
      <w:r w:rsidRPr="00384CDF">
        <w:rPr>
          <w:rFonts w:ascii="Tahoma" w:hAnsi="Tahoma" w:cs="Tahoma"/>
          <w:sz w:val="20"/>
          <w:szCs w:val="20"/>
        </w:rPr>
        <w:t>ОО</w:t>
      </w:r>
      <w:r w:rsidR="0018542B" w:rsidRPr="00384CDF">
        <w:rPr>
          <w:rFonts w:ascii="Tahoma" w:hAnsi="Tahoma" w:cs="Tahoma"/>
          <w:sz w:val="20"/>
          <w:szCs w:val="20"/>
        </w:rPr>
        <w:t>О</w:t>
      </w:r>
      <w:r w:rsidR="005D2EF8" w:rsidRPr="00384CDF">
        <w:rPr>
          <w:rFonts w:ascii="Tahoma" w:hAnsi="Tahoma" w:cs="Tahoma"/>
          <w:sz w:val="20"/>
          <w:szCs w:val="20"/>
        </w:rPr>
        <w:t xml:space="preserve"> «УК «</w:t>
      </w:r>
      <w:r w:rsidRPr="00384CDF">
        <w:rPr>
          <w:rFonts w:ascii="Tahoma" w:hAnsi="Tahoma" w:cs="Tahoma"/>
          <w:sz w:val="20"/>
          <w:szCs w:val="20"/>
        </w:rPr>
        <w:t>Гравитация</w:t>
      </w:r>
      <w:r w:rsidR="005D2EF8" w:rsidRPr="00384CDF">
        <w:rPr>
          <w:rFonts w:ascii="Tahoma" w:hAnsi="Tahoma" w:cs="Tahoma"/>
          <w:sz w:val="20"/>
          <w:szCs w:val="20"/>
        </w:rPr>
        <w:t>»</w:t>
      </w:r>
    </w:p>
    <w:p w:rsidR="007C52BF" w:rsidRPr="00384CDF" w:rsidRDefault="00CC5E78" w:rsidP="00663468">
      <w:pPr>
        <w:pStyle w:val="a3"/>
        <w:spacing w:before="1" w:line="276" w:lineRule="auto"/>
        <w:ind w:left="6663"/>
        <w:jc w:val="left"/>
        <w:rPr>
          <w:rFonts w:ascii="Tahoma" w:hAnsi="Tahoma" w:cs="Tahoma"/>
          <w:sz w:val="20"/>
          <w:szCs w:val="20"/>
        </w:rPr>
      </w:pPr>
      <w:r w:rsidRPr="00384CDF">
        <w:rPr>
          <w:rFonts w:ascii="Tahoma" w:hAnsi="Tahoma" w:cs="Tahoma"/>
          <w:sz w:val="20"/>
          <w:szCs w:val="20"/>
        </w:rPr>
        <w:t>№</w:t>
      </w:r>
      <w:r w:rsidR="00384CDF" w:rsidRPr="00F9619B">
        <w:rPr>
          <w:rFonts w:ascii="Tahoma" w:hAnsi="Tahoma" w:cs="Tahoma"/>
          <w:sz w:val="20"/>
          <w:szCs w:val="20"/>
        </w:rPr>
        <w:t>280624</w:t>
      </w:r>
      <w:r w:rsidR="00A9649A" w:rsidRPr="00F9619B">
        <w:rPr>
          <w:rFonts w:ascii="Tahoma" w:hAnsi="Tahoma" w:cs="Tahoma"/>
          <w:sz w:val="20"/>
          <w:szCs w:val="20"/>
        </w:rPr>
        <w:t>-</w:t>
      </w:r>
      <w:r w:rsidRPr="00F9619B">
        <w:rPr>
          <w:rFonts w:ascii="Tahoma" w:hAnsi="Tahoma" w:cs="Tahoma"/>
          <w:sz w:val="20"/>
          <w:szCs w:val="20"/>
        </w:rPr>
        <w:t>1-ОД</w:t>
      </w:r>
      <w:r w:rsidR="005D2EF8" w:rsidRPr="00F9619B">
        <w:rPr>
          <w:rFonts w:ascii="Tahoma" w:hAnsi="Tahoma" w:cs="Tahoma"/>
          <w:sz w:val="20"/>
          <w:szCs w:val="20"/>
        </w:rPr>
        <w:t xml:space="preserve"> от </w:t>
      </w:r>
      <w:r w:rsidR="00384CDF" w:rsidRPr="00F9619B">
        <w:rPr>
          <w:rFonts w:ascii="Tahoma" w:hAnsi="Tahoma" w:cs="Tahoma"/>
          <w:sz w:val="20"/>
          <w:szCs w:val="20"/>
        </w:rPr>
        <w:t>28</w:t>
      </w:r>
      <w:r w:rsidR="005D2EF8" w:rsidRPr="00F9619B">
        <w:rPr>
          <w:rFonts w:ascii="Tahoma" w:hAnsi="Tahoma" w:cs="Tahoma"/>
          <w:sz w:val="20"/>
          <w:szCs w:val="20"/>
        </w:rPr>
        <w:t>.</w:t>
      </w:r>
      <w:r w:rsidR="00A9649A" w:rsidRPr="00F9619B">
        <w:rPr>
          <w:rFonts w:ascii="Tahoma" w:hAnsi="Tahoma" w:cs="Tahoma"/>
          <w:sz w:val="20"/>
          <w:szCs w:val="20"/>
        </w:rPr>
        <w:t>06</w:t>
      </w:r>
      <w:r w:rsidR="005D2EF8" w:rsidRPr="00F9619B">
        <w:rPr>
          <w:rFonts w:ascii="Tahoma" w:hAnsi="Tahoma" w:cs="Tahoma"/>
          <w:sz w:val="20"/>
          <w:szCs w:val="20"/>
        </w:rPr>
        <w:t>.202</w:t>
      </w:r>
      <w:r w:rsidR="00A9649A" w:rsidRPr="00F9619B">
        <w:rPr>
          <w:rFonts w:ascii="Tahoma" w:hAnsi="Tahoma" w:cs="Tahoma"/>
          <w:sz w:val="20"/>
          <w:szCs w:val="20"/>
        </w:rPr>
        <w:t>4</w:t>
      </w:r>
      <w:r w:rsidR="005D2EF8" w:rsidRPr="00F9619B">
        <w:rPr>
          <w:rFonts w:ascii="Tahoma" w:hAnsi="Tahoma" w:cs="Tahoma"/>
          <w:sz w:val="20"/>
          <w:szCs w:val="20"/>
        </w:rPr>
        <w:t xml:space="preserve"> г.</w:t>
      </w:r>
    </w:p>
    <w:p w:rsidR="007C52BF" w:rsidRPr="00384CDF" w:rsidRDefault="007C52BF" w:rsidP="00663468">
      <w:pPr>
        <w:pStyle w:val="a3"/>
        <w:spacing w:before="4" w:line="276" w:lineRule="auto"/>
        <w:ind w:left="0"/>
        <w:jc w:val="left"/>
        <w:rPr>
          <w:rFonts w:ascii="Tahoma" w:hAnsi="Tahoma" w:cs="Tahoma"/>
          <w:b/>
          <w:sz w:val="20"/>
          <w:szCs w:val="20"/>
        </w:rPr>
      </w:pPr>
    </w:p>
    <w:p w:rsidR="00663468" w:rsidRPr="00384CDF" w:rsidRDefault="005D2EF8" w:rsidP="00663468">
      <w:pPr>
        <w:pStyle w:val="a4"/>
        <w:spacing w:before="1" w:line="276" w:lineRule="auto"/>
        <w:ind w:left="142" w:right="1276"/>
        <w:jc w:val="left"/>
        <w:rPr>
          <w:rFonts w:ascii="Tahoma" w:hAnsi="Tahoma" w:cs="Tahoma"/>
          <w:bCs w:val="0"/>
          <w:sz w:val="20"/>
          <w:szCs w:val="20"/>
        </w:rPr>
      </w:pPr>
      <w:r w:rsidRPr="00384CDF">
        <w:rPr>
          <w:rFonts w:ascii="Tahoma" w:hAnsi="Tahoma" w:cs="Tahoma"/>
          <w:bCs w:val="0"/>
          <w:sz w:val="20"/>
          <w:szCs w:val="20"/>
        </w:rPr>
        <w:t>Порядок рассмотрения обращений получателей финансовых услуг</w:t>
      </w:r>
    </w:p>
    <w:p w:rsidR="007C52BF" w:rsidRPr="00384CDF" w:rsidRDefault="00CC5E78" w:rsidP="00663468">
      <w:pPr>
        <w:pStyle w:val="a4"/>
        <w:spacing w:before="1" w:line="276" w:lineRule="auto"/>
        <w:ind w:left="142" w:right="1276"/>
        <w:jc w:val="left"/>
        <w:rPr>
          <w:rFonts w:ascii="Tahoma" w:hAnsi="Tahoma" w:cs="Tahoma"/>
          <w:bCs w:val="0"/>
          <w:sz w:val="20"/>
          <w:szCs w:val="20"/>
        </w:rPr>
      </w:pPr>
      <w:r w:rsidRPr="00384CDF">
        <w:rPr>
          <w:rFonts w:ascii="Tahoma" w:hAnsi="Tahoma" w:cs="Tahoma"/>
          <w:bCs w:val="0"/>
          <w:sz w:val="20"/>
          <w:szCs w:val="20"/>
        </w:rPr>
        <w:t>О</w:t>
      </w:r>
      <w:r w:rsidR="00027240" w:rsidRPr="00384CDF">
        <w:rPr>
          <w:rFonts w:ascii="Tahoma" w:hAnsi="Tahoma" w:cs="Tahoma"/>
          <w:bCs w:val="0"/>
          <w:sz w:val="20"/>
          <w:szCs w:val="20"/>
        </w:rPr>
        <w:t xml:space="preserve">бщества </w:t>
      </w:r>
      <w:r w:rsidRPr="00384CDF">
        <w:rPr>
          <w:rFonts w:ascii="Tahoma" w:hAnsi="Tahoma" w:cs="Tahoma"/>
          <w:bCs w:val="0"/>
          <w:sz w:val="20"/>
          <w:szCs w:val="20"/>
        </w:rPr>
        <w:t xml:space="preserve">с ограниченной ответственностью </w:t>
      </w:r>
      <w:r w:rsidR="005D2EF8" w:rsidRPr="00384CDF">
        <w:rPr>
          <w:rFonts w:ascii="Tahoma" w:hAnsi="Tahoma" w:cs="Tahoma"/>
          <w:bCs w:val="0"/>
          <w:sz w:val="20"/>
          <w:szCs w:val="20"/>
        </w:rPr>
        <w:t>«Управляющая компания «</w:t>
      </w:r>
      <w:r w:rsidRPr="00384CDF">
        <w:rPr>
          <w:rFonts w:ascii="Tahoma" w:hAnsi="Tahoma" w:cs="Tahoma"/>
          <w:bCs w:val="0"/>
          <w:sz w:val="20"/>
          <w:szCs w:val="20"/>
        </w:rPr>
        <w:t>Гравитация</w:t>
      </w:r>
      <w:r w:rsidR="005D2EF8" w:rsidRPr="00384CDF">
        <w:rPr>
          <w:rFonts w:ascii="Tahoma" w:hAnsi="Tahoma" w:cs="Tahoma"/>
          <w:bCs w:val="0"/>
          <w:sz w:val="20"/>
          <w:szCs w:val="20"/>
        </w:rPr>
        <w:t>»</w:t>
      </w:r>
    </w:p>
    <w:p w:rsidR="007C52BF" w:rsidRPr="00384CDF" w:rsidRDefault="007C52BF" w:rsidP="00663468">
      <w:pPr>
        <w:pStyle w:val="a3"/>
        <w:spacing w:before="4" w:line="276" w:lineRule="auto"/>
        <w:ind w:left="0"/>
        <w:jc w:val="left"/>
        <w:rPr>
          <w:rFonts w:ascii="Tahoma" w:hAnsi="Tahoma" w:cs="Tahoma"/>
          <w:b/>
          <w:sz w:val="20"/>
          <w:szCs w:val="20"/>
        </w:rPr>
      </w:pPr>
    </w:p>
    <w:p w:rsidR="00713852" w:rsidRPr="00384CDF" w:rsidRDefault="00713852" w:rsidP="00663468">
      <w:pPr>
        <w:pStyle w:val="a5"/>
        <w:numPr>
          <w:ilvl w:val="0"/>
          <w:numId w:val="2"/>
        </w:numPr>
        <w:spacing w:line="276" w:lineRule="auto"/>
        <w:ind w:left="426" w:right="107" w:hanging="426"/>
        <w:jc w:val="both"/>
        <w:rPr>
          <w:rFonts w:ascii="Tahoma" w:hAnsi="Tahoma" w:cs="Tahoma"/>
          <w:sz w:val="20"/>
          <w:szCs w:val="20"/>
        </w:rPr>
      </w:pPr>
      <w:r w:rsidRPr="00384CDF">
        <w:rPr>
          <w:rFonts w:ascii="Tahoma" w:hAnsi="Tahoma" w:cs="Tahoma"/>
          <w:sz w:val="20"/>
          <w:szCs w:val="20"/>
        </w:rPr>
        <w:t xml:space="preserve">Настоящий Порядок рассмотрения обращений получателей финансовых услуг (далее – Порядок) разработан </w:t>
      </w:r>
      <w:r w:rsidR="00CC5E78" w:rsidRPr="00384CDF">
        <w:rPr>
          <w:rFonts w:ascii="Tahoma" w:hAnsi="Tahoma" w:cs="Tahoma"/>
          <w:sz w:val="20"/>
          <w:szCs w:val="20"/>
        </w:rPr>
        <w:t>О</w:t>
      </w:r>
      <w:r w:rsidRPr="00384CDF">
        <w:rPr>
          <w:rFonts w:ascii="Tahoma" w:hAnsi="Tahoma" w:cs="Tahoma"/>
          <w:sz w:val="20"/>
          <w:szCs w:val="20"/>
        </w:rPr>
        <w:t xml:space="preserve">бществом </w:t>
      </w:r>
      <w:r w:rsidR="00CC5E78" w:rsidRPr="00384CDF">
        <w:rPr>
          <w:rFonts w:ascii="Tahoma" w:hAnsi="Tahoma" w:cs="Tahoma"/>
          <w:sz w:val="20"/>
          <w:szCs w:val="20"/>
        </w:rPr>
        <w:t xml:space="preserve">с ограниченной ответственностью </w:t>
      </w:r>
      <w:r w:rsidRPr="00384CDF">
        <w:rPr>
          <w:rFonts w:ascii="Tahoma" w:hAnsi="Tahoma" w:cs="Tahoma"/>
          <w:sz w:val="20"/>
          <w:szCs w:val="20"/>
        </w:rPr>
        <w:t>«Управляющая компания «</w:t>
      </w:r>
      <w:r w:rsidR="00CC5E78" w:rsidRPr="00384CDF">
        <w:rPr>
          <w:rFonts w:ascii="Tahoma" w:hAnsi="Tahoma" w:cs="Tahoma"/>
          <w:sz w:val="20"/>
          <w:szCs w:val="20"/>
        </w:rPr>
        <w:t>Гравитация</w:t>
      </w:r>
      <w:r w:rsidRPr="00384CDF">
        <w:rPr>
          <w:rFonts w:ascii="Tahoma" w:hAnsi="Tahoma" w:cs="Tahoma"/>
          <w:sz w:val="20"/>
          <w:szCs w:val="20"/>
        </w:rPr>
        <w:t>» (далее – Управляющая компания) в соответствии с</w:t>
      </w:r>
      <w:r w:rsidR="001F4DB2" w:rsidRPr="00384CDF">
        <w:rPr>
          <w:rFonts w:ascii="Tahoma" w:hAnsi="Tahoma" w:cs="Tahoma"/>
          <w:sz w:val="20"/>
          <w:szCs w:val="20"/>
        </w:rPr>
        <w:t xml:space="preserve"> требованиями Федерального закона от 29.11.2001 №156-ФЗ «Об инвестиционных фондах» и Базового</w:t>
      </w:r>
      <w:r w:rsidRPr="00384CDF">
        <w:rPr>
          <w:rFonts w:ascii="Tahoma" w:hAnsi="Tahoma" w:cs="Tahoma"/>
          <w:sz w:val="20"/>
          <w:szCs w:val="20"/>
        </w:rPr>
        <w:t xml:space="preserve"> стандарт</w:t>
      </w:r>
      <w:r w:rsidR="001F4DB2" w:rsidRPr="00384CDF">
        <w:rPr>
          <w:rFonts w:ascii="Tahoma" w:hAnsi="Tahoma" w:cs="Tahoma"/>
          <w:sz w:val="20"/>
          <w:szCs w:val="20"/>
        </w:rPr>
        <w:t>а</w:t>
      </w:r>
      <w:r w:rsidRPr="00384CDF">
        <w:rPr>
          <w:rFonts w:ascii="Tahoma" w:hAnsi="Tahoma" w:cs="Tahoma"/>
          <w:sz w:val="20"/>
          <w:szCs w:val="20"/>
        </w:rPr>
        <w:t xml:space="preserve"> защиты прав и интересов физических и юридических лиц - получателей финансовых услуг, оказываемых членами саморегулируемых организаций в сфере финансового рынка, объединяющих акционерные инвестиционные фонды и управляющие компании инвестиционных фондов, паевых инвестиционных фондов и негосударственных пенсионных фондов.</w:t>
      </w:r>
    </w:p>
    <w:p w:rsidR="00713852" w:rsidRPr="00384CDF" w:rsidRDefault="00713852" w:rsidP="00663468">
      <w:pPr>
        <w:pStyle w:val="a5"/>
        <w:numPr>
          <w:ilvl w:val="0"/>
          <w:numId w:val="2"/>
        </w:numPr>
        <w:spacing w:line="276" w:lineRule="auto"/>
        <w:ind w:left="426" w:right="107" w:hanging="426"/>
        <w:jc w:val="both"/>
        <w:rPr>
          <w:rFonts w:ascii="Tahoma" w:hAnsi="Tahoma" w:cs="Tahoma"/>
          <w:sz w:val="20"/>
          <w:szCs w:val="20"/>
        </w:rPr>
      </w:pPr>
      <w:r w:rsidRPr="00384CDF">
        <w:rPr>
          <w:rFonts w:ascii="Tahoma" w:hAnsi="Tahoma" w:cs="Tahoma"/>
          <w:sz w:val="20"/>
          <w:szCs w:val="20"/>
        </w:rPr>
        <w:t>В настоящем Порядке используются следующие термины и определения:</w:t>
      </w:r>
    </w:p>
    <w:p w:rsidR="00713852" w:rsidRPr="00384CDF" w:rsidRDefault="00713852" w:rsidP="00663468">
      <w:pPr>
        <w:pStyle w:val="a3"/>
        <w:spacing w:line="276" w:lineRule="auto"/>
        <w:ind w:left="426" w:right="104"/>
        <w:rPr>
          <w:rFonts w:ascii="Tahoma" w:hAnsi="Tahoma" w:cs="Tahoma"/>
          <w:sz w:val="20"/>
          <w:szCs w:val="20"/>
        </w:rPr>
      </w:pPr>
      <w:r w:rsidRPr="00384CDF">
        <w:rPr>
          <w:rFonts w:ascii="Tahoma" w:hAnsi="Tahoma" w:cs="Tahoma"/>
          <w:i/>
          <w:sz w:val="20"/>
          <w:szCs w:val="20"/>
        </w:rPr>
        <w:t>финансовая услуга</w:t>
      </w:r>
      <w:r w:rsidRPr="00384CDF">
        <w:rPr>
          <w:rFonts w:ascii="Tahoma" w:hAnsi="Tahoma" w:cs="Tahoma"/>
          <w:sz w:val="20"/>
          <w:szCs w:val="20"/>
        </w:rPr>
        <w:t xml:space="preserve"> – доверительное управление паевым инвестиционным фондом на основании лицензии управляющей компании на осуществление деятельности по управлению инвестиционными фондами, паевыми инвестиционными фондами и негосударственными пенсионными фондами;</w:t>
      </w:r>
    </w:p>
    <w:p w:rsidR="00713852" w:rsidRPr="00384CDF" w:rsidRDefault="00713852" w:rsidP="00663468">
      <w:pPr>
        <w:pStyle w:val="a3"/>
        <w:spacing w:line="276" w:lineRule="auto"/>
        <w:ind w:left="426"/>
        <w:rPr>
          <w:rFonts w:ascii="Tahoma" w:hAnsi="Tahoma" w:cs="Tahoma"/>
          <w:sz w:val="20"/>
          <w:szCs w:val="20"/>
        </w:rPr>
      </w:pPr>
      <w:r w:rsidRPr="00384CDF">
        <w:rPr>
          <w:rFonts w:ascii="Tahoma" w:hAnsi="Tahoma" w:cs="Tahoma"/>
          <w:i/>
          <w:sz w:val="20"/>
          <w:szCs w:val="20"/>
        </w:rPr>
        <w:t>клиент</w:t>
      </w:r>
      <w:r w:rsidRPr="00384CDF">
        <w:rPr>
          <w:rFonts w:ascii="Tahoma" w:hAnsi="Tahoma" w:cs="Tahoma"/>
          <w:sz w:val="20"/>
          <w:szCs w:val="20"/>
        </w:rPr>
        <w:t xml:space="preserve"> – владелец инвестиционных паев паевого инвестиционного фонда;</w:t>
      </w:r>
    </w:p>
    <w:p w:rsidR="00713852" w:rsidRPr="00384CDF" w:rsidRDefault="00713852" w:rsidP="00663468">
      <w:pPr>
        <w:pStyle w:val="a3"/>
        <w:spacing w:line="276" w:lineRule="auto"/>
        <w:ind w:left="426" w:right="107"/>
        <w:rPr>
          <w:rFonts w:ascii="Tahoma" w:hAnsi="Tahoma" w:cs="Tahoma"/>
          <w:sz w:val="20"/>
          <w:szCs w:val="20"/>
        </w:rPr>
      </w:pPr>
      <w:r w:rsidRPr="00384CDF">
        <w:rPr>
          <w:rFonts w:ascii="Tahoma" w:hAnsi="Tahoma" w:cs="Tahoma"/>
          <w:sz w:val="20"/>
          <w:szCs w:val="20"/>
        </w:rPr>
        <w:t>получатель финансовых услуг - клиент, а также юридическое или физическое лицо, намеренное заключить с Управляющей компанией договор доверительного управления путем приобретения инвестиционных паев паевого инвестиционного фонда;</w:t>
      </w:r>
    </w:p>
    <w:p w:rsidR="00713852" w:rsidRPr="00384CDF" w:rsidRDefault="00713852" w:rsidP="00663468">
      <w:pPr>
        <w:pStyle w:val="a3"/>
        <w:spacing w:line="276" w:lineRule="auto"/>
        <w:ind w:left="426" w:right="103"/>
        <w:rPr>
          <w:rFonts w:ascii="Tahoma" w:hAnsi="Tahoma" w:cs="Tahoma"/>
          <w:sz w:val="20"/>
          <w:szCs w:val="20"/>
        </w:rPr>
      </w:pPr>
      <w:r w:rsidRPr="00384CDF">
        <w:rPr>
          <w:rFonts w:ascii="Tahoma" w:hAnsi="Tahoma" w:cs="Tahoma"/>
          <w:i/>
          <w:sz w:val="20"/>
          <w:szCs w:val="20"/>
        </w:rPr>
        <w:t>обращение</w:t>
      </w:r>
      <w:r w:rsidRPr="00384CDF">
        <w:rPr>
          <w:rFonts w:ascii="Tahoma" w:hAnsi="Tahoma" w:cs="Tahoma"/>
          <w:sz w:val="20"/>
          <w:szCs w:val="20"/>
        </w:rPr>
        <w:t xml:space="preserve"> </w:t>
      </w:r>
      <w:r w:rsidR="00663468" w:rsidRPr="00384CDF">
        <w:rPr>
          <w:rFonts w:ascii="Tahoma" w:hAnsi="Tahoma" w:cs="Tahoma"/>
          <w:sz w:val="20"/>
          <w:szCs w:val="20"/>
        </w:rPr>
        <w:t>–</w:t>
      </w:r>
      <w:r w:rsidRPr="00384CDF">
        <w:rPr>
          <w:rFonts w:ascii="Tahoma" w:hAnsi="Tahoma" w:cs="Tahoma"/>
          <w:sz w:val="20"/>
          <w:szCs w:val="20"/>
        </w:rPr>
        <w:t xml:space="preserve"> </w:t>
      </w:r>
      <w:r w:rsidR="009346B6" w:rsidRPr="009346B6">
        <w:rPr>
          <w:rFonts w:ascii="Tahoma" w:hAnsi="Tahoma" w:cs="Tahoma"/>
          <w:sz w:val="20"/>
          <w:szCs w:val="20"/>
        </w:rPr>
        <w:t>направленная физическ</w:t>
      </w:r>
      <w:r w:rsidR="009346B6">
        <w:rPr>
          <w:rFonts w:ascii="Tahoma" w:hAnsi="Tahoma" w:cs="Tahoma"/>
          <w:sz w:val="20"/>
          <w:szCs w:val="20"/>
        </w:rPr>
        <w:t>им лицом или юридическим лицом Управляющей компании</w:t>
      </w:r>
      <w:r w:rsidR="009346B6" w:rsidRPr="009346B6">
        <w:rPr>
          <w:rFonts w:ascii="Tahoma" w:hAnsi="Tahoma" w:cs="Tahoma"/>
          <w:sz w:val="20"/>
          <w:szCs w:val="20"/>
        </w:rPr>
        <w:t xml:space="preserve"> просьба, жалоба, предложение либо заявление, касающееся оказания финансовой услуги</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Компания обеспечивает объективное, всестороннее и своевременное рассмотрение обращении, заявлении, жалоб, просьб и предложении (далее – обращения) поступивших от физического лица или юридического лица (далее - заявитель), связанное с осуществлением управляющей компанией лицензионной деятельности, в порядке, установленной настоящ</w:t>
      </w:r>
      <w:r w:rsidR="009473AD" w:rsidRPr="00DC3786">
        <w:rPr>
          <w:rFonts w:ascii="Tahoma" w:eastAsia="Calibri" w:hAnsi="Tahoma" w:cs="Tahoma"/>
          <w:sz w:val="20"/>
          <w:szCs w:val="20"/>
        </w:rPr>
        <w:t>его Порядка</w:t>
      </w:r>
      <w:r w:rsidRPr="00DC3786">
        <w:rPr>
          <w:rFonts w:ascii="Tahoma" w:eastAsia="Calibri" w:hAnsi="Tahoma" w:cs="Tahoma"/>
          <w:sz w:val="20"/>
          <w:szCs w:val="20"/>
        </w:rPr>
        <w:t>.</w:t>
      </w:r>
      <w:bookmarkStart w:id="0" w:name="Par1"/>
      <w:bookmarkEnd w:id="0"/>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lang w:eastAsia="ru-RU"/>
        </w:rPr>
      </w:pPr>
      <w:bookmarkStart w:id="1" w:name="_Hlk169690823"/>
      <w:r w:rsidRPr="00DC3786">
        <w:rPr>
          <w:rFonts w:ascii="Tahoma" w:eastAsia="Calibri" w:hAnsi="Tahoma" w:cs="Tahoma"/>
          <w:sz w:val="20"/>
          <w:szCs w:val="20"/>
        </w:rPr>
        <w:t>Ответственным за рассмотрением поступающих обращений является Контролер</w:t>
      </w:r>
      <w:bookmarkEnd w:id="1"/>
      <w:r w:rsidRPr="00DC3786">
        <w:rPr>
          <w:rFonts w:ascii="Tahoma" w:eastAsia="Calibri" w:hAnsi="Tahoma" w:cs="Tahoma"/>
          <w:sz w:val="20"/>
          <w:szCs w:val="20"/>
        </w:rPr>
        <w:t>.</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lang w:eastAsia="ru-RU"/>
        </w:rPr>
      </w:pPr>
      <w:r w:rsidRPr="00DC3786">
        <w:rPr>
          <w:rFonts w:ascii="Tahoma" w:eastAsia="Calibri" w:hAnsi="Tahoma" w:cs="Tahoma"/>
          <w:sz w:val="20"/>
          <w:szCs w:val="20"/>
        </w:rPr>
        <w:t>Компания отказывает в рассмотрении обращения по существу в следующих случаях:</w:t>
      </w:r>
    </w:p>
    <w:p w:rsidR="00384CDF" w:rsidRPr="00DC3786" w:rsidRDefault="00384CDF" w:rsidP="005D74E4">
      <w:pPr>
        <w:pStyle w:val="a5"/>
        <w:widowControl/>
        <w:numPr>
          <w:ilvl w:val="1"/>
          <w:numId w:val="10"/>
        </w:numPr>
        <w:autoSpaceDE/>
        <w:autoSpaceDN/>
        <w:adjustRightInd w:val="0"/>
        <w:spacing w:before="200" w:after="200" w:line="276" w:lineRule="auto"/>
        <w:contextualSpacing/>
        <w:rPr>
          <w:rFonts w:ascii="Tahoma" w:eastAsia="Verdana" w:hAnsi="Tahoma" w:cs="Tahoma"/>
          <w:sz w:val="20"/>
          <w:szCs w:val="20"/>
          <w:lang w:eastAsia="ru-RU"/>
        </w:rPr>
      </w:pPr>
      <w:r w:rsidRPr="00DC3786">
        <w:rPr>
          <w:rFonts w:ascii="Tahoma" w:eastAsia="Verdana" w:hAnsi="Tahoma" w:cs="Tahoma"/>
          <w:sz w:val="20"/>
          <w:szCs w:val="20"/>
          <w:lang w:eastAsia="ru-RU"/>
        </w:rPr>
        <w:t>в обращении не указан адрес, по которому должен быть направлен ответ;</w:t>
      </w:r>
    </w:p>
    <w:p w:rsidR="00384CDF" w:rsidRPr="00DC3786" w:rsidRDefault="00384CDF" w:rsidP="005D74E4">
      <w:pPr>
        <w:pStyle w:val="a5"/>
        <w:widowControl/>
        <w:numPr>
          <w:ilvl w:val="1"/>
          <w:numId w:val="10"/>
        </w:numPr>
        <w:autoSpaceDE/>
        <w:autoSpaceDN/>
        <w:adjustRightInd w:val="0"/>
        <w:spacing w:before="200" w:after="200" w:line="276" w:lineRule="auto"/>
        <w:contextualSpacing/>
        <w:rPr>
          <w:rFonts w:ascii="Tahoma" w:eastAsia="Verdana" w:hAnsi="Tahoma" w:cs="Tahoma"/>
          <w:sz w:val="20"/>
          <w:szCs w:val="20"/>
          <w:lang w:eastAsia="ru-RU"/>
        </w:rPr>
      </w:pPr>
      <w:r w:rsidRPr="00DC3786">
        <w:rPr>
          <w:rFonts w:ascii="Tahoma" w:eastAsia="Verdana" w:hAnsi="Tahoma" w:cs="Tahoma"/>
          <w:sz w:val="20"/>
          <w:szCs w:val="20"/>
          <w:lang w:eastAsia="ru-RU"/>
        </w:rPr>
        <w:t>в обращении не указана фамилия (наименование) заявителя;</w:t>
      </w:r>
    </w:p>
    <w:p w:rsidR="00384CDF" w:rsidRPr="00DC3786" w:rsidRDefault="00384CDF" w:rsidP="005D74E4">
      <w:pPr>
        <w:pStyle w:val="a5"/>
        <w:widowControl/>
        <w:numPr>
          <w:ilvl w:val="1"/>
          <w:numId w:val="10"/>
        </w:numPr>
        <w:autoSpaceDE/>
        <w:autoSpaceDN/>
        <w:adjustRightInd w:val="0"/>
        <w:spacing w:before="200" w:after="200" w:line="276" w:lineRule="auto"/>
        <w:contextualSpacing/>
        <w:rPr>
          <w:rFonts w:ascii="Tahoma" w:eastAsia="Verdana" w:hAnsi="Tahoma" w:cs="Tahoma"/>
          <w:sz w:val="20"/>
          <w:szCs w:val="20"/>
          <w:lang w:eastAsia="ru-RU"/>
        </w:rPr>
      </w:pPr>
      <w:r w:rsidRPr="00DC3786">
        <w:rPr>
          <w:rFonts w:ascii="Tahoma" w:eastAsia="Verdana" w:hAnsi="Tahoma" w:cs="Tahoma"/>
          <w:sz w:val="20"/>
          <w:szCs w:val="20"/>
          <w:lang w:eastAsia="ru-RU"/>
        </w:rPr>
        <w:t>в обращении содержатся нецензурные либо оскорбительные выражения, угрозы имуществу управляющей организации, угрозы жизни, здоровью и имуществу работника управляющей компании или членов его семьи;</w:t>
      </w:r>
    </w:p>
    <w:p w:rsidR="00384CDF" w:rsidRPr="00DC3786" w:rsidRDefault="00384CDF" w:rsidP="005D74E4">
      <w:pPr>
        <w:pStyle w:val="a5"/>
        <w:widowControl/>
        <w:numPr>
          <w:ilvl w:val="1"/>
          <w:numId w:val="10"/>
        </w:numPr>
        <w:autoSpaceDE/>
        <w:autoSpaceDN/>
        <w:adjustRightInd w:val="0"/>
        <w:spacing w:before="200" w:after="200" w:line="276" w:lineRule="auto"/>
        <w:contextualSpacing/>
        <w:rPr>
          <w:rFonts w:ascii="Tahoma" w:eastAsia="Verdana" w:hAnsi="Tahoma" w:cs="Tahoma"/>
          <w:sz w:val="20"/>
          <w:szCs w:val="20"/>
          <w:lang w:eastAsia="ru-RU"/>
        </w:rPr>
      </w:pPr>
      <w:r w:rsidRPr="00DC3786">
        <w:rPr>
          <w:rFonts w:ascii="Tahoma" w:eastAsia="Verdana" w:hAnsi="Tahoma" w:cs="Tahoma"/>
          <w:sz w:val="20"/>
          <w:szCs w:val="20"/>
          <w:lang w:eastAsia="ru-RU"/>
        </w:rPr>
        <w:t>текст обращения не поддается прочтению;</w:t>
      </w:r>
    </w:p>
    <w:p w:rsidR="00384CDF" w:rsidRPr="00DC3786" w:rsidRDefault="00384CDF" w:rsidP="005D74E4">
      <w:pPr>
        <w:pStyle w:val="a5"/>
        <w:widowControl/>
        <w:numPr>
          <w:ilvl w:val="1"/>
          <w:numId w:val="10"/>
        </w:numPr>
        <w:autoSpaceDE/>
        <w:autoSpaceDN/>
        <w:adjustRightInd w:val="0"/>
        <w:spacing w:before="200" w:after="200" w:line="276" w:lineRule="auto"/>
        <w:contextualSpacing/>
        <w:rPr>
          <w:rFonts w:ascii="Tahoma" w:eastAsia="Verdana" w:hAnsi="Tahoma" w:cs="Tahoma"/>
          <w:sz w:val="20"/>
          <w:szCs w:val="20"/>
          <w:lang w:eastAsia="ru-RU"/>
        </w:rPr>
      </w:pPr>
      <w:r w:rsidRPr="00DC3786">
        <w:rPr>
          <w:rFonts w:ascii="Tahoma" w:eastAsia="Verdana" w:hAnsi="Tahoma" w:cs="Tahoma"/>
          <w:sz w:val="20"/>
          <w:szCs w:val="20"/>
          <w:lang w:eastAsia="ru-RU"/>
        </w:rPr>
        <w:t>текст обращения не позволяет определить его суть.</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lang w:eastAsia="ru-RU"/>
        </w:rPr>
      </w:pPr>
      <w:r w:rsidRPr="00DC3786">
        <w:rPr>
          <w:rFonts w:ascii="Tahoma" w:eastAsia="Calibri" w:hAnsi="Tahoma" w:cs="Tahoma"/>
          <w:sz w:val="20"/>
          <w:szCs w:val="20"/>
          <w:lang w:eastAsia="ru-RU"/>
        </w:rPr>
        <w:t xml:space="preserve">Компания </w:t>
      </w:r>
      <w:r w:rsidRPr="00DC3786">
        <w:rPr>
          <w:rFonts w:ascii="Tahoma" w:eastAsia="Calibri" w:hAnsi="Tahoma" w:cs="Tahoma"/>
          <w:sz w:val="20"/>
          <w:szCs w:val="20"/>
        </w:rPr>
        <w:t>принимает обращения следующими способами</w:t>
      </w:r>
      <w:r w:rsidRPr="00DC3786">
        <w:rPr>
          <w:rFonts w:ascii="Tahoma" w:eastAsia="Calibri" w:hAnsi="Tahoma" w:cs="Tahoma"/>
          <w:sz w:val="20"/>
          <w:szCs w:val="20"/>
          <w:lang w:eastAsia="ru-RU"/>
        </w:rPr>
        <w:t>:</w:t>
      </w:r>
    </w:p>
    <w:p w:rsidR="00384CDF" w:rsidRPr="00DC3786" w:rsidRDefault="00384CDF" w:rsidP="005D74E4">
      <w:pPr>
        <w:pStyle w:val="a5"/>
        <w:widowControl/>
        <w:numPr>
          <w:ilvl w:val="1"/>
          <w:numId w:val="12"/>
        </w:numPr>
        <w:autoSpaceDE/>
        <w:autoSpaceDN/>
        <w:adjustRightInd w:val="0"/>
        <w:spacing w:before="200" w:after="200"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 xml:space="preserve">в бумажном виде почтовым отправлением по адресу: 236011, Калининградская область, </w:t>
      </w:r>
      <w:proofErr w:type="spellStart"/>
      <w:r w:rsidRPr="00DC3786">
        <w:rPr>
          <w:rFonts w:ascii="Tahoma" w:eastAsia="Verdana" w:hAnsi="Tahoma" w:cs="Tahoma"/>
          <w:sz w:val="20"/>
          <w:szCs w:val="20"/>
          <w:lang w:eastAsia="ru-RU"/>
        </w:rPr>
        <w:t>г.о</w:t>
      </w:r>
      <w:proofErr w:type="spellEnd"/>
      <w:r w:rsidRPr="00DC3786">
        <w:rPr>
          <w:rFonts w:ascii="Tahoma" w:eastAsia="Verdana" w:hAnsi="Tahoma" w:cs="Tahoma"/>
          <w:sz w:val="20"/>
          <w:szCs w:val="20"/>
          <w:lang w:eastAsia="ru-RU"/>
        </w:rPr>
        <w:t xml:space="preserve">. город Калининград, г. Калининград, </w:t>
      </w:r>
      <w:proofErr w:type="spellStart"/>
      <w:r w:rsidRPr="00DC3786">
        <w:rPr>
          <w:rFonts w:ascii="Tahoma" w:eastAsia="Verdana" w:hAnsi="Tahoma" w:cs="Tahoma"/>
          <w:sz w:val="20"/>
          <w:szCs w:val="20"/>
          <w:lang w:eastAsia="ru-RU"/>
        </w:rPr>
        <w:t>ул</w:t>
      </w:r>
      <w:proofErr w:type="spellEnd"/>
      <w:r w:rsidRPr="00DC3786">
        <w:rPr>
          <w:rFonts w:ascii="Tahoma" w:eastAsia="Verdana" w:hAnsi="Tahoma" w:cs="Tahoma"/>
          <w:sz w:val="20"/>
          <w:szCs w:val="20"/>
          <w:lang w:eastAsia="ru-RU"/>
        </w:rPr>
        <w:t xml:space="preserve"> Аллея смелых, </w:t>
      </w:r>
      <w:proofErr w:type="spellStart"/>
      <w:r w:rsidRPr="00DC3786">
        <w:rPr>
          <w:rFonts w:ascii="Tahoma" w:eastAsia="Verdana" w:hAnsi="Tahoma" w:cs="Tahoma"/>
          <w:sz w:val="20"/>
          <w:szCs w:val="20"/>
          <w:lang w:eastAsia="ru-RU"/>
        </w:rPr>
        <w:t>зд</w:t>
      </w:r>
      <w:proofErr w:type="spellEnd"/>
      <w:r w:rsidRPr="00DC3786">
        <w:rPr>
          <w:rFonts w:ascii="Tahoma" w:eastAsia="Verdana" w:hAnsi="Tahoma" w:cs="Tahoma"/>
          <w:sz w:val="20"/>
          <w:szCs w:val="20"/>
          <w:lang w:eastAsia="ru-RU"/>
        </w:rPr>
        <w:t xml:space="preserve">. 187, </w:t>
      </w:r>
      <w:proofErr w:type="spellStart"/>
      <w:r w:rsidRPr="00DC3786">
        <w:rPr>
          <w:rFonts w:ascii="Tahoma" w:eastAsia="Verdana" w:hAnsi="Tahoma" w:cs="Tahoma"/>
          <w:sz w:val="20"/>
          <w:szCs w:val="20"/>
          <w:lang w:eastAsia="ru-RU"/>
        </w:rPr>
        <w:t>помещ</w:t>
      </w:r>
      <w:proofErr w:type="spellEnd"/>
      <w:r w:rsidRPr="00DC3786">
        <w:rPr>
          <w:rFonts w:ascii="Tahoma" w:eastAsia="Verdana" w:hAnsi="Tahoma" w:cs="Tahoma"/>
          <w:sz w:val="20"/>
          <w:szCs w:val="20"/>
          <w:lang w:eastAsia="ru-RU"/>
        </w:rPr>
        <w:t>. 9;</w:t>
      </w:r>
    </w:p>
    <w:p w:rsidR="00384CDF" w:rsidRPr="00DC3786" w:rsidRDefault="009346B6" w:rsidP="005D74E4">
      <w:pPr>
        <w:pStyle w:val="a5"/>
        <w:widowControl/>
        <w:numPr>
          <w:ilvl w:val="1"/>
          <w:numId w:val="12"/>
        </w:numPr>
        <w:autoSpaceDE/>
        <w:autoSpaceDN/>
        <w:adjustRightInd w:val="0"/>
        <w:spacing w:before="200" w:after="200" w:line="276" w:lineRule="auto"/>
        <w:ind w:left="1134"/>
        <w:contextualSpacing/>
        <w:rPr>
          <w:rFonts w:ascii="Tahoma" w:eastAsia="Verdana" w:hAnsi="Tahoma" w:cs="Tahoma"/>
          <w:sz w:val="20"/>
          <w:szCs w:val="20"/>
          <w:lang w:eastAsia="ru-RU"/>
        </w:rPr>
      </w:pPr>
      <w:r w:rsidRPr="00F9619B">
        <w:rPr>
          <w:rFonts w:ascii="Tahoma" w:hAnsi="Tahoma" w:cs="Tahoma"/>
          <w:sz w:val="20"/>
          <w:szCs w:val="20"/>
        </w:rPr>
        <w:t>вручение под роспись уполномоченному лицу Управляющей компании</w:t>
      </w:r>
      <w:r w:rsidRPr="00DC3786">
        <w:rPr>
          <w:rFonts w:ascii="Tahoma" w:hAnsi="Tahoma" w:cs="Tahoma"/>
          <w:sz w:val="20"/>
          <w:szCs w:val="20"/>
        </w:rPr>
        <w:t xml:space="preserve"> (нарочно) на бумажном носителе по адресу: 236011, Калининградская область, </w:t>
      </w:r>
      <w:proofErr w:type="spellStart"/>
      <w:r w:rsidRPr="00DC3786">
        <w:rPr>
          <w:rFonts w:ascii="Tahoma" w:hAnsi="Tahoma" w:cs="Tahoma"/>
          <w:sz w:val="20"/>
          <w:szCs w:val="20"/>
        </w:rPr>
        <w:t>г.о</w:t>
      </w:r>
      <w:proofErr w:type="spellEnd"/>
      <w:r w:rsidRPr="00DC3786">
        <w:rPr>
          <w:rFonts w:ascii="Tahoma" w:hAnsi="Tahoma" w:cs="Tahoma"/>
          <w:sz w:val="20"/>
          <w:szCs w:val="20"/>
        </w:rPr>
        <w:t xml:space="preserve">. город Калининград, г. Калининград, </w:t>
      </w:r>
      <w:proofErr w:type="spellStart"/>
      <w:r w:rsidRPr="00DC3786">
        <w:rPr>
          <w:rFonts w:ascii="Tahoma" w:hAnsi="Tahoma" w:cs="Tahoma"/>
          <w:sz w:val="20"/>
          <w:szCs w:val="20"/>
        </w:rPr>
        <w:t>ул</w:t>
      </w:r>
      <w:proofErr w:type="spellEnd"/>
      <w:r w:rsidRPr="00DC3786">
        <w:rPr>
          <w:rFonts w:ascii="Tahoma" w:hAnsi="Tahoma" w:cs="Tahoma"/>
          <w:sz w:val="20"/>
          <w:szCs w:val="20"/>
        </w:rPr>
        <w:t xml:space="preserve"> Аллея смелых, </w:t>
      </w:r>
      <w:proofErr w:type="spellStart"/>
      <w:r w:rsidRPr="00DC3786">
        <w:rPr>
          <w:rFonts w:ascii="Tahoma" w:hAnsi="Tahoma" w:cs="Tahoma"/>
          <w:sz w:val="20"/>
          <w:szCs w:val="20"/>
        </w:rPr>
        <w:t>зд</w:t>
      </w:r>
      <w:proofErr w:type="spellEnd"/>
      <w:r w:rsidRPr="00DC3786">
        <w:rPr>
          <w:rFonts w:ascii="Tahoma" w:hAnsi="Tahoma" w:cs="Tahoma"/>
          <w:sz w:val="20"/>
          <w:szCs w:val="20"/>
        </w:rPr>
        <w:t xml:space="preserve">. 187, </w:t>
      </w:r>
      <w:proofErr w:type="spellStart"/>
      <w:r w:rsidRPr="00DC3786">
        <w:rPr>
          <w:rFonts w:ascii="Tahoma" w:hAnsi="Tahoma" w:cs="Tahoma"/>
          <w:sz w:val="20"/>
          <w:szCs w:val="20"/>
        </w:rPr>
        <w:t>помещ</w:t>
      </w:r>
      <w:proofErr w:type="spellEnd"/>
      <w:r w:rsidRPr="00DC3786">
        <w:rPr>
          <w:rFonts w:ascii="Tahoma" w:hAnsi="Tahoma" w:cs="Tahoma"/>
          <w:sz w:val="20"/>
          <w:szCs w:val="20"/>
        </w:rPr>
        <w:t>. 9;</w:t>
      </w:r>
    </w:p>
    <w:p w:rsidR="00384CDF" w:rsidRPr="00DC3786" w:rsidRDefault="00384CDF" w:rsidP="005D74E4">
      <w:pPr>
        <w:pStyle w:val="a5"/>
        <w:widowControl/>
        <w:numPr>
          <w:ilvl w:val="1"/>
          <w:numId w:val="12"/>
        </w:numPr>
        <w:autoSpaceDE/>
        <w:autoSpaceDN/>
        <w:adjustRightInd w:val="0"/>
        <w:spacing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 xml:space="preserve">по адресу электронной почты: info@gravity-pif.ru </w:t>
      </w:r>
    </w:p>
    <w:p w:rsidR="00384CDF" w:rsidRPr="00DC3786" w:rsidRDefault="00384CDF" w:rsidP="00384CDF">
      <w:pPr>
        <w:widowControl/>
        <w:adjustRightInd w:val="0"/>
        <w:jc w:val="both"/>
        <w:rPr>
          <w:rFonts w:ascii="Tahoma" w:eastAsia="Calibri" w:hAnsi="Tahoma" w:cs="Tahoma"/>
          <w:sz w:val="20"/>
          <w:szCs w:val="20"/>
          <w:lang w:eastAsia="ru-RU"/>
        </w:rPr>
      </w:pPr>
      <w:r w:rsidRPr="00DC3786">
        <w:rPr>
          <w:rFonts w:ascii="Tahoma" w:eastAsia="Calibri" w:hAnsi="Tahoma" w:cs="Tahoma"/>
          <w:sz w:val="20"/>
          <w:szCs w:val="20"/>
          <w:lang w:eastAsia="ru-RU"/>
        </w:rPr>
        <w:t>Наличие подписи заявителя в обращении не требуется.</w:t>
      </w:r>
      <w:bookmarkStart w:id="2" w:name="Par2"/>
      <w:bookmarkEnd w:id="2"/>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lang w:eastAsia="ru-RU"/>
        </w:rPr>
      </w:pPr>
      <w:r w:rsidRPr="00DC3786">
        <w:rPr>
          <w:rFonts w:ascii="Tahoma" w:eastAsia="Calibri" w:hAnsi="Tahoma" w:cs="Tahoma"/>
          <w:sz w:val="20"/>
          <w:szCs w:val="20"/>
          <w:lang w:eastAsia="ru-RU"/>
        </w:rPr>
        <w:t>Обращение подлежит обязательной регистрации не позднее рабочего дня, следующего за днем его поступления в Компанию. В случае поступления обращения в форме электронного документа Компания обязана уведомить заявителя о регистрации обращения (далее - уведомление о регистрации) не позднее дня регистрации обращения способом, предусмотренным пунктом 1</w:t>
      </w:r>
      <w:bookmarkStart w:id="3" w:name="_GoBack"/>
      <w:bookmarkEnd w:id="3"/>
      <w:r w:rsidR="00DB7481">
        <w:rPr>
          <w:rFonts w:ascii="Tahoma" w:eastAsia="Calibri" w:hAnsi="Tahoma" w:cs="Tahoma"/>
          <w:sz w:val="20"/>
          <w:szCs w:val="20"/>
          <w:lang w:eastAsia="ru-RU"/>
        </w:rPr>
        <w:t>2</w:t>
      </w:r>
      <w:r w:rsidRPr="00DC3786">
        <w:rPr>
          <w:rFonts w:ascii="Tahoma" w:eastAsia="Calibri" w:hAnsi="Tahoma" w:cs="Tahoma"/>
          <w:sz w:val="20"/>
          <w:szCs w:val="20"/>
          <w:lang w:eastAsia="ru-RU"/>
        </w:rPr>
        <w:t xml:space="preserve"> </w:t>
      </w:r>
      <w:r w:rsidRPr="00DC3786">
        <w:rPr>
          <w:rFonts w:ascii="Tahoma" w:eastAsia="Calibri" w:hAnsi="Tahoma" w:cs="Tahoma"/>
          <w:sz w:val="20"/>
          <w:szCs w:val="20"/>
          <w:lang w:eastAsia="ru-RU"/>
        </w:rPr>
        <w:lastRenderedPageBreak/>
        <w:t>настоящ</w:t>
      </w:r>
      <w:r w:rsidR="009473AD" w:rsidRPr="00DC3786">
        <w:rPr>
          <w:rFonts w:ascii="Tahoma" w:eastAsia="Calibri" w:hAnsi="Tahoma" w:cs="Tahoma"/>
          <w:sz w:val="20"/>
          <w:szCs w:val="20"/>
          <w:lang w:eastAsia="ru-RU"/>
        </w:rPr>
        <w:t>его Порядка</w:t>
      </w:r>
      <w:r w:rsidRPr="00DC3786">
        <w:rPr>
          <w:rFonts w:ascii="Tahoma" w:eastAsia="Calibri" w:hAnsi="Tahoma" w:cs="Tahoma"/>
          <w:sz w:val="20"/>
          <w:szCs w:val="20"/>
          <w:lang w:eastAsia="ru-RU"/>
        </w:rPr>
        <w:t>.</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В отношении каждого поступившего обращения документально фиксируется:</w:t>
      </w:r>
    </w:p>
    <w:p w:rsidR="00384CDF" w:rsidRPr="00DC3786" w:rsidRDefault="00384CDF" w:rsidP="005D74E4">
      <w:pPr>
        <w:pStyle w:val="a5"/>
        <w:widowControl/>
        <w:numPr>
          <w:ilvl w:val="1"/>
          <w:numId w:val="13"/>
        </w:numPr>
        <w:autoSpaceDE/>
        <w:autoSpaceDN/>
        <w:adjustRightInd w:val="0"/>
        <w:spacing w:before="200" w:after="200"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Дата регистрации и входящий номер обращения;</w:t>
      </w:r>
    </w:p>
    <w:p w:rsidR="00384CDF" w:rsidRPr="00DC3786" w:rsidRDefault="00384CDF" w:rsidP="005D74E4">
      <w:pPr>
        <w:pStyle w:val="a5"/>
        <w:widowControl/>
        <w:numPr>
          <w:ilvl w:val="1"/>
          <w:numId w:val="13"/>
        </w:numPr>
        <w:autoSpaceDE/>
        <w:autoSpaceDN/>
        <w:adjustRightInd w:val="0"/>
        <w:spacing w:before="200" w:after="200"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В отношении физических лиц – фамилия, имя, отчество (при наличии) получателя финансовых услуг, направившего обращение, а в отношении юридических лиц – наименование получателя финансовых услуг, от имени которого направлено обращение;</w:t>
      </w:r>
    </w:p>
    <w:p w:rsidR="00384CDF" w:rsidRPr="00DC3786" w:rsidRDefault="00384CDF" w:rsidP="005D74E4">
      <w:pPr>
        <w:pStyle w:val="a5"/>
        <w:widowControl/>
        <w:numPr>
          <w:ilvl w:val="1"/>
          <w:numId w:val="13"/>
        </w:numPr>
        <w:autoSpaceDE/>
        <w:autoSpaceDN/>
        <w:adjustRightInd w:val="0"/>
        <w:spacing w:before="200" w:after="200"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Тематика обращения;</w:t>
      </w:r>
    </w:p>
    <w:p w:rsidR="00384CDF" w:rsidRPr="00DC3786" w:rsidRDefault="00384CDF" w:rsidP="005D74E4">
      <w:pPr>
        <w:pStyle w:val="a5"/>
        <w:widowControl/>
        <w:numPr>
          <w:ilvl w:val="1"/>
          <w:numId w:val="13"/>
        </w:numPr>
        <w:autoSpaceDE/>
        <w:autoSpaceDN/>
        <w:adjustRightInd w:val="0"/>
        <w:spacing w:before="200" w:after="200" w:line="276" w:lineRule="auto"/>
        <w:ind w:left="1134"/>
        <w:contextualSpacing/>
        <w:rPr>
          <w:rFonts w:ascii="Tahoma" w:eastAsia="Verdana" w:hAnsi="Tahoma" w:cs="Tahoma"/>
          <w:sz w:val="20"/>
          <w:szCs w:val="20"/>
          <w:lang w:eastAsia="ru-RU"/>
        </w:rPr>
      </w:pPr>
      <w:r w:rsidRPr="00DC3786">
        <w:rPr>
          <w:rFonts w:ascii="Tahoma" w:eastAsia="Verdana" w:hAnsi="Tahoma" w:cs="Tahoma"/>
          <w:sz w:val="20"/>
          <w:szCs w:val="20"/>
          <w:lang w:eastAsia="ru-RU"/>
        </w:rPr>
        <w:t>Дата регистрации и исходящий номер ответа на обращение.</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Компания обязана рассмотреть обращение и по результатам его рассмотрения направить заявителю ответ на обращение в течение 15 рабочих дней со дня регистрации обращения, если иные сроки не предусмотрены федеральными законами.</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В случае необходимости запроса дополнительных документов и материалов в целях объективного и всестороннего рассмотрения обращения Компания по решению единоличного исполнительного органа, заместителя единоличного исполнительного органа или Контролера вправе продлить срок рассмотрения обращения, но не более чем на 10 рабочих дней, если иное не предусмотрено федеральными законами. Компания обязана уведомить заявителя о продлении срока рассмотрения обращения с указанием обоснования такого продления, направив ему соответствующее уведомление (далее - уведомление о продлении срока).</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Ответ на обращение должен содержать информацию о результатах объективного и всестороннего рассмотрения обращения, быть обоснованным и включать ссылки на имеющие отношение к рассматриваемому в обращении вопросу требования законодательства Российской Федерации, документы и (или) сведения, связанные с рассмотрением обращения, а также на фактические обстоятельства рассматриваемого в обращении вопроса.</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Ответ на обращение, а также уведомление о регистрации, уведомление о продлении срока направляются заявителю в зависимости от способа поступления обращения в письменной форме по указанным в обращении адресу электронной почты или почтовому адресу либо способом, предусмотренным условиями договора, заключенного между Компанией и заявителем. В случае, если заявитель при направлении обращения указал способ направления ответа на обращение в форме электронного документа или на бумажном носителе, ответ на обращение должен быть направлен способом, указанным в обращении.</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 xml:space="preserve">В случае выявления Компанией при рассмотрении обращения нарушения базового стандарта или внутреннего стандарта, разработанного, согласованного и утвержденного в соответствии с требованиями Федерального </w:t>
      </w:r>
      <w:hyperlink r:id="rId7" w:history="1">
        <w:r w:rsidRPr="00DC3786">
          <w:rPr>
            <w:rFonts w:ascii="Tahoma" w:eastAsia="Calibri" w:hAnsi="Tahoma" w:cs="Tahoma"/>
            <w:sz w:val="20"/>
            <w:szCs w:val="20"/>
          </w:rPr>
          <w:t>закона</w:t>
        </w:r>
      </w:hyperlink>
      <w:r w:rsidRPr="00DC3786">
        <w:rPr>
          <w:rFonts w:ascii="Tahoma" w:eastAsia="Calibri" w:hAnsi="Tahoma" w:cs="Tahoma"/>
          <w:sz w:val="20"/>
          <w:szCs w:val="20"/>
        </w:rPr>
        <w:t xml:space="preserve"> от 13 июля 2015 года №223-ФЗ «О саморегулируемых организациях в сфере финансового рынка», Компания направляет копию ответа на обращение и копию обращения в саморегулируемую организацию в сфере финансового рынка, членом которой она является на момент направления указанных копий, для осуществления саморегулируемой организацией в сфере финансового рынка контроля в порядке, предусмотренном </w:t>
      </w:r>
      <w:hyperlink r:id="rId8" w:history="1">
        <w:r w:rsidRPr="00DC3786">
          <w:rPr>
            <w:rFonts w:ascii="Tahoma" w:eastAsia="Calibri" w:hAnsi="Tahoma" w:cs="Tahoma"/>
            <w:sz w:val="20"/>
            <w:szCs w:val="20"/>
          </w:rPr>
          <w:t>статьей 14</w:t>
        </w:r>
      </w:hyperlink>
      <w:r w:rsidRPr="00DC3786">
        <w:rPr>
          <w:rFonts w:ascii="Tahoma" w:eastAsia="Calibri" w:hAnsi="Tahoma" w:cs="Tahoma"/>
          <w:sz w:val="20"/>
          <w:szCs w:val="20"/>
        </w:rPr>
        <w:t xml:space="preserve"> указанного Федерального закона, в день направления ответа на обращение заявителю.</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 xml:space="preserve">В случае, если обращение содержит требование имущественного характера, которое связано с восстановлением Компанией нарушенного права заявителя и подлежит рассмотрению финансовым уполномоченным, направление обращения в соответствии с требованиями настоящей статьи является соблюдением заявителем обязанности, предусмотренной </w:t>
      </w:r>
      <w:hyperlink r:id="rId9" w:history="1">
        <w:r w:rsidRPr="00DC3786">
          <w:rPr>
            <w:rFonts w:ascii="Tahoma" w:eastAsia="Calibri" w:hAnsi="Tahoma" w:cs="Tahoma"/>
            <w:sz w:val="20"/>
            <w:szCs w:val="20"/>
          </w:rPr>
          <w:t>частью 1 статьи 16</w:t>
        </w:r>
      </w:hyperlink>
      <w:r w:rsidRPr="00DC3786">
        <w:rPr>
          <w:rFonts w:ascii="Tahoma" w:eastAsia="Calibri" w:hAnsi="Tahoma" w:cs="Tahoma"/>
          <w:sz w:val="20"/>
          <w:szCs w:val="20"/>
        </w:rPr>
        <w:t xml:space="preserve"> Федерального закона от 4 июня 2018 года №123-ФЗ «Об уполномоченном по правам потребителей финансовых услуг», и обращение подлежит рассмотрению Компанией в порядке и сроки , которые установлены указанным Федеральным </w:t>
      </w:r>
      <w:hyperlink r:id="rId10" w:history="1">
        <w:r w:rsidRPr="00DC3786">
          <w:rPr>
            <w:rFonts w:ascii="Tahoma" w:eastAsia="Calibri" w:hAnsi="Tahoma" w:cs="Tahoma"/>
            <w:sz w:val="20"/>
            <w:szCs w:val="20"/>
          </w:rPr>
          <w:t>законом</w:t>
        </w:r>
      </w:hyperlink>
      <w:r w:rsidRPr="00DC3786">
        <w:rPr>
          <w:rFonts w:ascii="Tahoma" w:eastAsia="Calibri" w:hAnsi="Tahoma" w:cs="Tahoma"/>
          <w:sz w:val="20"/>
          <w:szCs w:val="20"/>
        </w:rPr>
        <w:t>.</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Компания обязана хранить обращения, а также копии ответов на обращения и копии уведомлений, предусмотренных настоящим П</w:t>
      </w:r>
      <w:r w:rsidR="009473AD" w:rsidRPr="00DC3786">
        <w:rPr>
          <w:rFonts w:ascii="Tahoma" w:eastAsia="Calibri" w:hAnsi="Tahoma" w:cs="Tahoma"/>
          <w:sz w:val="20"/>
          <w:szCs w:val="20"/>
        </w:rPr>
        <w:t>орядк</w:t>
      </w:r>
      <w:r w:rsidR="008614D4" w:rsidRPr="00DC3786">
        <w:rPr>
          <w:rFonts w:ascii="Tahoma" w:eastAsia="Calibri" w:hAnsi="Tahoma" w:cs="Tahoma"/>
          <w:sz w:val="20"/>
          <w:szCs w:val="20"/>
        </w:rPr>
        <w:t>ом</w:t>
      </w:r>
      <w:r w:rsidRPr="00DC3786">
        <w:rPr>
          <w:rFonts w:ascii="Tahoma" w:eastAsia="Calibri" w:hAnsi="Tahoma" w:cs="Tahoma"/>
          <w:sz w:val="20"/>
          <w:szCs w:val="20"/>
        </w:rPr>
        <w:t>, в течение трех лет со дня регистрации таких обращений.</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bookmarkStart w:id="4" w:name="Par14"/>
      <w:bookmarkStart w:id="5" w:name="Par17"/>
      <w:bookmarkStart w:id="6" w:name="Par18"/>
      <w:bookmarkEnd w:id="4"/>
      <w:bookmarkEnd w:id="5"/>
      <w:bookmarkEnd w:id="6"/>
      <w:r w:rsidRPr="00DC3786">
        <w:rPr>
          <w:rFonts w:ascii="Tahoma" w:eastAsia="Calibri" w:hAnsi="Tahoma" w:cs="Tahoma"/>
          <w:sz w:val="20"/>
          <w:szCs w:val="20"/>
        </w:rPr>
        <w:t xml:space="preserve">Если в случаях, предусмотренных </w:t>
      </w:r>
      <w:hyperlink w:anchor="Par14" w:history="1">
        <w:r w:rsidRPr="00DC3786">
          <w:rPr>
            <w:rFonts w:ascii="Tahoma" w:eastAsia="Calibri" w:hAnsi="Tahoma" w:cs="Tahoma"/>
            <w:sz w:val="20"/>
            <w:szCs w:val="20"/>
          </w:rPr>
          <w:t>подпунктами 2</w:t>
        </w:r>
      </w:hyperlink>
      <w:r w:rsidRPr="00DC3786">
        <w:rPr>
          <w:rFonts w:ascii="Tahoma" w:eastAsia="Calibri" w:hAnsi="Tahoma" w:cs="Tahoma"/>
          <w:sz w:val="20"/>
          <w:szCs w:val="20"/>
        </w:rPr>
        <w:t xml:space="preserve"> - </w:t>
      </w:r>
      <w:hyperlink w:anchor="Par17" w:history="1">
        <w:r w:rsidRPr="00DC3786">
          <w:rPr>
            <w:rFonts w:ascii="Tahoma" w:eastAsia="Calibri" w:hAnsi="Tahoma" w:cs="Tahoma"/>
            <w:sz w:val="20"/>
            <w:szCs w:val="20"/>
          </w:rPr>
          <w:t xml:space="preserve">5 пункта </w:t>
        </w:r>
      </w:hyperlink>
      <w:r w:rsidR="007458E6">
        <w:rPr>
          <w:rFonts w:ascii="Tahoma" w:eastAsia="Calibri" w:hAnsi="Tahoma" w:cs="Tahoma"/>
          <w:sz w:val="20"/>
          <w:szCs w:val="20"/>
        </w:rPr>
        <w:t>5</w:t>
      </w:r>
      <w:r w:rsidR="009473AD" w:rsidRPr="00DC3786">
        <w:rPr>
          <w:rFonts w:ascii="Tahoma" w:eastAsia="Calibri" w:hAnsi="Tahoma" w:cs="Tahoma"/>
          <w:sz w:val="20"/>
          <w:szCs w:val="20"/>
        </w:rPr>
        <w:t xml:space="preserve"> настоящего Порядка</w:t>
      </w:r>
      <w:r w:rsidRPr="00DC3786">
        <w:rPr>
          <w:rFonts w:ascii="Tahoma" w:eastAsia="Calibri" w:hAnsi="Tahoma" w:cs="Tahoma"/>
          <w:sz w:val="20"/>
          <w:szCs w:val="20"/>
        </w:rPr>
        <w:t xml:space="preserve">, Компания принимает решение не рассматривать обращение по существу, она направляет заявителю уведомление об этом решении в течение пяти рабочих дней со дня регистрации обращения способом, указанным в </w:t>
      </w:r>
      <w:hyperlink w:anchor="Par2" w:history="1">
        <w:r w:rsidRPr="00DC3786">
          <w:rPr>
            <w:rFonts w:ascii="Tahoma" w:eastAsia="Calibri" w:hAnsi="Tahoma" w:cs="Tahoma"/>
            <w:sz w:val="20"/>
            <w:szCs w:val="20"/>
          </w:rPr>
          <w:t>пункте 1</w:t>
        </w:r>
      </w:hyperlink>
      <w:r w:rsidR="007458E6">
        <w:rPr>
          <w:rFonts w:ascii="Tahoma" w:eastAsia="Calibri" w:hAnsi="Tahoma" w:cs="Tahoma"/>
          <w:sz w:val="20"/>
          <w:szCs w:val="20"/>
        </w:rPr>
        <w:t>2</w:t>
      </w:r>
      <w:r w:rsidRPr="00DC3786">
        <w:rPr>
          <w:rFonts w:ascii="Tahoma" w:eastAsia="Calibri" w:hAnsi="Tahoma" w:cs="Tahoma"/>
          <w:sz w:val="20"/>
          <w:szCs w:val="20"/>
        </w:rPr>
        <w:t xml:space="preserve"> настоящ</w:t>
      </w:r>
      <w:r w:rsidR="009473AD" w:rsidRPr="00DC3786">
        <w:rPr>
          <w:rFonts w:ascii="Tahoma" w:eastAsia="Calibri" w:hAnsi="Tahoma" w:cs="Tahoma"/>
          <w:sz w:val="20"/>
          <w:szCs w:val="20"/>
        </w:rPr>
        <w:t>его Порядка</w:t>
      </w:r>
      <w:r w:rsidRPr="00DC3786">
        <w:rPr>
          <w:rFonts w:ascii="Tahoma" w:eastAsia="Calibri" w:hAnsi="Tahoma" w:cs="Tahoma"/>
          <w:sz w:val="20"/>
          <w:szCs w:val="20"/>
        </w:rPr>
        <w:t>.</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 xml:space="preserve">В случае, если в обращении содержится вопрос, на который заявителю неоднократно давались ответы по существу в связи с ранее направляемыми им обращениями, и при этом не приводятся </w:t>
      </w:r>
      <w:r w:rsidRPr="00DC3786">
        <w:rPr>
          <w:rFonts w:ascii="Tahoma" w:eastAsia="Calibri" w:hAnsi="Tahoma" w:cs="Tahoma"/>
          <w:sz w:val="20"/>
          <w:szCs w:val="20"/>
        </w:rPr>
        <w:lastRenderedPageBreak/>
        <w:t xml:space="preserve">новые доводы или обстоятельства, Компания вправе самостоятельно принять решение о безосновательности очередного обращения и прекращении переписки с заявителем по данному вопросу. Об этом решении заявитель уведомляется в порядке, предусмотренном </w:t>
      </w:r>
      <w:hyperlink w:anchor="Par18" w:history="1">
        <w:r w:rsidRPr="00DC3786">
          <w:rPr>
            <w:rFonts w:ascii="Tahoma" w:eastAsia="Calibri" w:hAnsi="Tahoma" w:cs="Tahoma"/>
            <w:sz w:val="20"/>
            <w:szCs w:val="20"/>
          </w:rPr>
          <w:t>пунктом 1</w:t>
        </w:r>
        <w:r w:rsidR="007458E6">
          <w:rPr>
            <w:rFonts w:ascii="Tahoma" w:eastAsia="Calibri" w:hAnsi="Tahoma" w:cs="Tahoma"/>
            <w:sz w:val="20"/>
            <w:szCs w:val="20"/>
          </w:rPr>
          <w:t>6</w:t>
        </w:r>
        <w:r w:rsidRPr="00DC3786">
          <w:rPr>
            <w:rFonts w:ascii="Tahoma" w:eastAsia="Calibri" w:hAnsi="Tahoma" w:cs="Tahoma"/>
            <w:sz w:val="20"/>
            <w:szCs w:val="20"/>
          </w:rPr>
          <w:t xml:space="preserve"> настоящ</w:t>
        </w:r>
        <w:r w:rsidR="009473AD" w:rsidRPr="00DC3786">
          <w:rPr>
            <w:rFonts w:ascii="Tahoma" w:eastAsia="Calibri" w:hAnsi="Tahoma" w:cs="Tahoma"/>
            <w:sz w:val="20"/>
            <w:szCs w:val="20"/>
          </w:rPr>
          <w:t>его Порядка</w:t>
        </w:r>
      </w:hyperlink>
      <w:r w:rsidRPr="00DC3786">
        <w:rPr>
          <w:rFonts w:ascii="Tahoma" w:eastAsia="Calibri" w:hAnsi="Tahoma" w:cs="Tahoma"/>
          <w:sz w:val="20"/>
          <w:szCs w:val="20"/>
        </w:rPr>
        <w:t>.</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 xml:space="preserve">В случае поступления в Компанию из Банка России обращения, предусмотренного </w:t>
      </w:r>
      <w:hyperlink r:id="rId11" w:history="1">
        <w:r w:rsidRPr="00DC3786">
          <w:rPr>
            <w:rFonts w:ascii="Tahoma" w:eastAsia="Calibri" w:hAnsi="Tahoma" w:cs="Tahoma"/>
            <w:sz w:val="20"/>
            <w:szCs w:val="20"/>
          </w:rPr>
          <w:t>статьей 79.3</w:t>
        </w:r>
      </w:hyperlink>
      <w:r w:rsidRPr="00DC3786">
        <w:rPr>
          <w:rFonts w:ascii="Tahoma" w:eastAsia="Calibri" w:hAnsi="Tahoma" w:cs="Tahoma"/>
          <w:sz w:val="20"/>
          <w:szCs w:val="20"/>
        </w:rPr>
        <w:t xml:space="preserve"> Федерального закона от 10 июля 2002 года №86-ФЗ «О Центральном банке Российской Федерации (Банке России)», Компания обязана рассмотреть его в соответствии с требованиями настоящего </w:t>
      </w:r>
      <w:r w:rsidR="008614D4" w:rsidRPr="00DC3786">
        <w:rPr>
          <w:rFonts w:ascii="Tahoma" w:eastAsia="Calibri" w:hAnsi="Tahoma" w:cs="Tahoma"/>
          <w:sz w:val="20"/>
          <w:szCs w:val="20"/>
        </w:rPr>
        <w:t>Порядка</w:t>
      </w:r>
      <w:r w:rsidRPr="00DC3786">
        <w:rPr>
          <w:rFonts w:ascii="Tahoma" w:eastAsia="Calibri" w:hAnsi="Tahoma" w:cs="Tahoma"/>
          <w:sz w:val="20"/>
          <w:szCs w:val="20"/>
        </w:rPr>
        <w:t xml:space="preserve">, а также направить в Банк России копию ответа на обращение и копии уведомлений (при наличии), предусмотренных настоящим </w:t>
      </w:r>
      <w:r w:rsidR="008614D4" w:rsidRPr="00DC3786">
        <w:rPr>
          <w:rFonts w:ascii="Tahoma" w:eastAsia="Calibri" w:hAnsi="Tahoma" w:cs="Tahoma"/>
          <w:sz w:val="20"/>
          <w:szCs w:val="20"/>
        </w:rPr>
        <w:t>Порядко</w:t>
      </w:r>
      <w:r w:rsidRPr="00DC3786">
        <w:rPr>
          <w:rFonts w:ascii="Tahoma" w:eastAsia="Calibri" w:hAnsi="Tahoma" w:cs="Tahoma"/>
          <w:sz w:val="20"/>
          <w:szCs w:val="20"/>
        </w:rPr>
        <w:t>м, в день их направления заявителю.</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Управляющая компания и ее должностные лица не вправе использовать иначе, чем в целях, предусмотренных Федеральным законом от 29 ноября 2001 г. №156-ФЗ «Об инвестиционных фондах», и разглашать в какой-либо форме полученные при рассмотрении обращения персональные данные заявителя, а также информацию, составляющую коммерческую, служебную, банковскую тайну, тайну страхования и иную охраняемую законом тайну, за исключением случаев, предусмотренных законодательством Российской Федерации.</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Компания не реже одного раза в шесть месяцев проводит анализ поступивших обращений и принимает решение о целесообразности применения мер, направленных на улучшение качества обслуживания получателей финансовых услуг.</w:t>
      </w:r>
    </w:p>
    <w:p w:rsidR="00384CDF" w:rsidRPr="00DC3786" w:rsidRDefault="00384CDF" w:rsidP="005D74E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eastAsia="Calibri" w:hAnsi="Tahoma" w:cs="Tahoma"/>
          <w:sz w:val="20"/>
          <w:szCs w:val="20"/>
        </w:rPr>
        <w:t xml:space="preserve">В случае поступления от </w:t>
      </w:r>
      <w:r w:rsidR="00A206E6" w:rsidRPr="00DC3786">
        <w:rPr>
          <w:rFonts w:ascii="Tahoma" w:eastAsia="Calibri" w:hAnsi="Tahoma" w:cs="Tahoma"/>
          <w:sz w:val="20"/>
          <w:szCs w:val="20"/>
        </w:rPr>
        <w:t>физического лица или юридического лица</w:t>
      </w:r>
      <w:r w:rsidRPr="00DC3786">
        <w:rPr>
          <w:rFonts w:ascii="Tahoma" w:eastAsia="Calibri" w:hAnsi="Tahoma" w:cs="Tahoma"/>
          <w:sz w:val="20"/>
          <w:szCs w:val="20"/>
        </w:rPr>
        <w:t xml:space="preserve"> претензии в связи с возникновением спора, связанного с нарушением положений правил доверительного управления паевым инвестиционным фондом</w:t>
      </w:r>
      <w:r w:rsidR="00A206E6" w:rsidRPr="00DC3786">
        <w:rPr>
          <w:rFonts w:ascii="Tahoma" w:eastAsia="Calibri" w:hAnsi="Tahoma" w:cs="Tahoma"/>
          <w:sz w:val="20"/>
          <w:szCs w:val="20"/>
        </w:rPr>
        <w:t>,</w:t>
      </w:r>
      <w:r w:rsidRPr="00DC3786">
        <w:rPr>
          <w:rFonts w:ascii="Tahoma" w:eastAsia="Calibri" w:hAnsi="Tahoma" w:cs="Tahoma"/>
          <w:sz w:val="20"/>
          <w:szCs w:val="20"/>
        </w:rPr>
        <w:t xml:space="preserve"> Компания обязана обеспечить рассмотрение такой пре</w:t>
      </w:r>
      <w:r w:rsidR="00A206E6" w:rsidRPr="00DC3786">
        <w:rPr>
          <w:rFonts w:ascii="Tahoma" w:eastAsia="Calibri" w:hAnsi="Tahoma" w:cs="Tahoma"/>
          <w:sz w:val="20"/>
          <w:szCs w:val="20"/>
        </w:rPr>
        <w:t xml:space="preserve">тензии в соответствии с </w:t>
      </w:r>
      <w:r w:rsidRPr="00DC3786">
        <w:rPr>
          <w:rFonts w:ascii="Tahoma" w:eastAsia="Calibri" w:hAnsi="Tahoma" w:cs="Tahoma"/>
          <w:sz w:val="20"/>
          <w:szCs w:val="20"/>
        </w:rPr>
        <w:t>настоящим П</w:t>
      </w:r>
      <w:r w:rsidR="009473AD" w:rsidRPr="00DC3786">
        <w:rPr>
          <w:rFonts w:ascii="Tahoma" w:eastAsia="Calibri" w:hAnsi="Tahoma" w:cs="Tahoma"/>
          <w:sz w:val="20"/>
          <w:szCs w:val="20"/>
        </w:rPr>
        <w:t>орядк</w:t>
      </w:r>
      <w:r w:rsidR="008614D4" w:rsidRPr="00DC3786">
        <w:rPr>
          <w:rFonts w:ascii="Tahoma" w:eastAsia="Calibri" w:hAnsi="Tahoma" w:cs="Tahoma"/>
          <w:sz w:val="20"/>
          <w:szCs w:val="20"/>
        </w:rPr>
        <w:t>ом</w:t>
      </w:r>
      <w:r w:rsidRPr="00DC3786">
        <w:rPr>
          <w:rFonts w:ascii="Tahoma" w:eastAsia="Calibri" w:hAnsi="Tahoma" w:cs="Tahoma"/>
          <w:sz w:val="20"/>
          <w:szCs w:val="20"/>
        </w:rPr>
        <w:t>.</w:t>
      </w:r>
    </w:p>
    <w:p w:rsidR="008614D4" w:rsidRPr="00DC3786" w:rsidRDefault="008614D4" w:rsidP="008614D4">
      <w:pPr>
        <w:pStyle w:val="a5"/>
        <w:numPr>
          <w:ilvl w:val="0"/>
          <w:numId w:val="2"/>
        </w:numPr>
        <w:spacing w:line="276" w:lineRule="auto"/>
        <w:ind w:left="426" w:right="107" w:hanging="426"/>
        <w:jc w:val="both"/>
        <w:rPr>
          <w:rFonts w:ascii="Tahoma" w:eastAsia="Calibri" w:hAnsi="Tahoma" w:cs="Tahoma"/>
          <w:sz w:val="20"/>
          <w:szCs w:val="20"/>
        </w:rPr>
      </w:pPr>
      <w:r w:rsidRPr="00DC3786">
        <w:rPr>
          <w:rFonts w:ascii="Tahoma" w:hAnsi="Tahoma" w:cs="Tahoma"/>
          <w:sz w:val="20"/>
          <w:szCs w:val="20"/>
        </w:rPr>
        <w:t xml:space="preserve">В случае заключения между Компанией и получателем финансовых услуг соглашения о применении процедуры медиации или наличия в правилах доверительного управления паевым инвестиционным фондом ссылки на документ, содержащий условия урегулирования спора при содействии медиатора (медиативная оговорка), разрешение споров между Компанией и получателем финансовых услуг осуществляется в соответствии с Федеральным </w:t>
      </w:r>
      <w:hyperlink r:id="rId12" w:history="1">
        <w:r w:rsidRPr="00DC3786">
          <w:rPr>
            <w:rFonts w:ascii="Tahoma" w:hAnsi="Tahoma" w:cs="Tahoma"/>
            <w:sz w:val="20"/>
            <w:szCs w:val="20"/>
          </w:rPr>
          <w:t>законом</w:t>
        </w:r>
      </w:hyperlink>
      <w:r w:rsidRPr="00DC3786">
        <w:rPr>
          <w:rFonts w:ascii="Tahoma" w:hAnsi="Tahoma" w:cs="Tahoma"/>
          <w:sz w:val="20"/>
          <w:szCs w:val="20"/>
        </w:rPr>
        <w:t xml:space="preserve"> от 27.07.2010 №193-ФЗ «Об альтернативной процедуре урегулирования споров с участием посредника (процедуре медиации)».</w:t>
      </w:r>
    </w:p>
    <w:p w:rsidR="00C44067" w:rsidRPr="00DC3786" w:rsidRDefault="00C44067" w:rsidP="005D74E4">
      <w:pPr>
        <w:pStyle w:val="a5"/>
        <w:spacing w:line="276" w:lineRule="auto"/>
        <w:ind w:left="426" w:right="107"/>
        <w:jc w:val="left"/>
        <w:rPr>
          <w:rFonts w:ascii="Tahoma" w:hAnsi="Tahoma" w:cs="Tahoma"/>
          <w:sz w:val="20"/>
          <w:szCs w:val="20"/>
        </w:rPr>
      </w:pPr>
    </w:p>
    <w:p w:rsidR="007C52BF" w:rsidRPr="00384CDF" w:rsidRDefault="007C52BF" w:rsidP="00F86A7A">
      <w:pPr>
        <w:pStyle w:val="a5"/>
        <w:spacing w:line="276" w:lineRule="auto"/>
        <w:ind w:left="426" w:right="107"/>
        <w:jc w:val="left"/>
        <w:rPr>
          <w:rFonts w:ascii="Tahoma" w:hAnsi="Tahoma" w:cs="Tahoma"/>
          <w:sz w:val="20"/>
          <w:szCs w:val="20"/>
        </w:rPr>
      </w:pPr>
    </w:p>
    <w:sectPr w:rsidR="007C52BF" w:rsidRPr="00384CDF">
      <w:footerReference w:type="default" r:id="rId13"/>
      <w:pgSz w:w="11910" w:h="16840"/>
      <w:pgMar w:top="760" w:right="74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EA8" w:rsidRDefault="00D87EA8" w:rsidP="00D87EA8">
      <w:r>
        <w:separator/>
      </w:r>
    </w:p>
  </w:endnote>
  <w:endnote w:type="continuationSeparator" w:id="0">
    <w:p w:rsidR="00D87EA8" w:rsidRDefault="00D87EA8" w:rsidP="00D8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altName w:val="MS Mincho"/>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685584"/>
      <w:docPartObj>
        <w:docPartGallery w:val="Page Numbers (Bottom of Page)"/>
        <w:docPartUnique/>
      </w:docPartObj>
    </w:sdtPr>
    <w:sdtEndPr>
      <w:rPr>
        <w:rFonts w:ascii="Tahoma" w:hAnsi="Tahoma" w:cs="Tahoma"/>
        <w:sz w:val="20"/>
        <w:szCs w:val="20"/>
      </w:rPr>
    </w:sdtEndPr>
    <w:sdtContent>
      <w:p w:rsidR="00D87EA8" w:rsidRPr="00CC5E78" w:rsidRDefault="00D87EA8">
        <w:pPr>
          <w:pStyle w:val="a8"/>
          <w:jc w:val="right"/>
          <w:rPr>
            <w:rFonts w:ascii="Tahoma" w:hAnsi="Tahoma" w:cs="Tahoma"/>
            <w:sz w:val="20"/>
            <w:szCs w:val="20"/>
          </w:rPr>
        </w:pPr>
        <w:r w:rsidRPr="00CC5E78">
          <w:rPr>
            <w:rFonts w:ascii="Tahoma" w:hAnsi="Tahoma" w:cs="Tahoma"/>
            <w:sz w:val="20"/>
            <w:szCs w:val="20"/>
          </w:rPr>
          <w:fldChar w:fldCharType="begin"/>
        </w:r>
        <w:r w:rsidRPr="00CC5E78">
          <w:rPr>
            <w:rFonts w:ascii="Tahoma" w:hAnsi="Tahoma" w:cs="Tahoma"/>
            <w:sz w:val="20"/>
            <w:szCs w:val="20"/>
          </w:rPr>
          <w:instrText>PAGE   \* MERGEFORMAT</w:instrText>
        </w:r>
        <w:r w:rsidRPr="00CC5E78">
          <w:rPr>
            <w:rFonts w:ascii="Tahoma" w:hAnsi="Tahoma" w:cs="Tahoma"/>
            <w:sz w:val="20"/>
            <w:szCs w:val="20"/>
          </w:rPr>
          <w:fldChar w:fldCharType="separate"/>
        </w:r>
        <w:r w:rsidR="00DB7481">
          <w:rPr>
            <w:rFonts w:ascii="Tahoma" w:hAnsi="Tahoma" w:cs="Tahoma"/>
            <w:noProof/>
            <w:sz w:val="20"/>
            <w:szCs w:val="20"/>
          </w:rPr>
          <w:t>2</w:t>
        </w:r>
        <w:r w:rsidRPr="00CC5E78">
          <w:rPr>
            <w:rFonts w:ascii="Tahoma" w:hAnsi="Tahoma" w:cs="Tahoma"/>
            <w:sz w:val="20"/>
            <w:szCs w:val="20"/>
          </w:rPr>
          <w:fldChar w:fldCharType="end"/>
        </w:r>
      </w:p>
    </w:sdtContent>
  </w:sdt>
  <w:p w:rsidR="00D87EA8" w:rsidRDefault="00D87EA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EA8" w:rsidRDefault="00D87EA8" w:rsidP="00D87EA8">
      <w:r>
        <w:separator/>
      </w:r>
    </w:p>
  </w:footnote>
  <w:footnote w:type="continuationSeparator" w:id="0">
    <w:p w:rsidR="00D87EA8" w:rsidRDefault="00D87EA8" w:rsidP="00D87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D293C"/>
    <w:multiLevelType w:val="multilevel"/>
    <w:tmpl w:val="0419001F"/>
    <w:styleLink w:val="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337028"/>
    <w:multiLevelType w:val="hybridMultilevel"/>
    <w:tmpl w:val="02C6DB54"/>
    <w:lvl w:ilvl="0" w:tplc="C7F8ED4C">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 w15:restartNumberingAfterBreak="0">
    <w:nsid w:val="21240FE7"/>
    <w:multiLevelType w:val="multilevel"/>
    <w:tmpl w:val="A68495D4"/>
    <w:lvl w:ilvl="0">
      <w:start w:val="1"/>
      <w:numFmt w:val="bullet"/>
      <w:lvlText w:val=""/>
      <w:lvlJc w:val="left"/>
      <w:pPr>
        <w:ind w:left="360" w:hanging="360"/>
      </w:pPr>
      <w:rPr>
        <w:rFonts w:ascii="Symbol" w:hAnsi="Symbol" w:hint="default"/>
        <w:b/>
      </w:rPr>
    </w:lvl>
    <w:lvl w:ilvl="1">
      <w:start w:val="1"/>
      <w:numFmt w:val="decimal"/>
      <w:lvlText w:val="%1.%2."/>
      <w:lvlJc w:val="left"/>
      <w:pPr>
        <w:ind w:left="786"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3" w15:restartNumberingAfterBreak="0">
    <w:nsid w:val="2F4648D9"/>
    <w:multiLevelType w:val="hybridMultilevel"/>
    <w:tmpl w:val="CD7A3616"/>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15:restartNumberingAfterBreak="0">
    <w:nsid w:val="34B54868"/>
    <w:multiLevelType w:val="multilevel"/>
    <w:tmpl w:val="F51CF8C2"/>
    <w:lvl w:ilvl="0">
      <w:start w:val="8"/>
      <w:numFmt w:val="decimal"/>
      <w:lvlText w:val="%1."/>
      <w:lvlJc w:val="left"/>
      <w:pPr>
        <w:ind w:left="360" w:hanging="360"/>
      </w:pPr>
      <w:rPr>
        <w:rFonts w:hint="default"/>
      </w:rPr>
    </w:lvl>
    <w:lvl w:ilvl="1">
      <w:start w:val="1"/>
      <w:numFmt w:val="decimal"/>
      <w:lvlText w:val="%1.%2."/>
      <w:lvlJc w:val="left"/>
      <w:pPr>
        <w:ind w:left="1854" w:hanging="7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482" w:hanging="108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604" w:hanging="180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1232" w:hanging="2160"/>
      </w:pPr>
      <w:rPr>
        <w:rFonts w:hint="default"/>
      </w:rPr>
    </w:lvl>
  </w:abstractNum>
  <w:abstractNum w:abstractNumId="5" w15:restartNumberingAfterBreak="0">
    <w:nsid w:val="354D0ACC"/>
    <w:multiLevelType w:val="hybridMultilevel"/>
    <w:tmpl w:val="B468A0BC"/>
    <w:lvl w:ilvl="0" w:tplc="B6FA1BAE">
      <w:numFmt w:val="bullet"/>
      <w:lvlText w:val=""/>
      <w:lvlJc w:val="left"/>
      <w:pPr>
        <w:ind w:left="402" w:hanging="284"/>
      </w:pPr>
      <w:rPr>
        <w:rFonts w:ascii="Symbol" w:eastAsia="Symbol" w:hAnsi="Symbol" w:cs="Symbol" w:hint="default"/>
        <w:w w:val="100"/>
        <w:sz w:val="24"/>
        <w:szCs w:val="24"/>
        <w:lang w:val="ru-RU" w:eastAsia="en-US" w:bidi="ar-SA"/>
      </w:rPr>
    </w:lvl>
    <w:lvl w:ilvl="1" w:tplc="462A09A8">
      <w:numFmt w:val="bullet"/>
      <w:lvlText w:val="•"/>
      <w:lvlJc w:val="left"/>
      <w:pPr>
        <w:ind w:left="1346" w:hanging="284"/>
      </w:pPr>
      <w:rPr>
        <w:rFonts w:hint="default"/>
        <w:lang w:val="ru-RU" w:eastAsia="en-US" w:bidi="ar-SA"/>
      </w:rPr>
    </w:lvl>
    <w:lvl w:ilvl="2" w:tplc="DA5C7728">
      <w:numFmt w:val="bullet"/>
      <w:lvlText w:val="•"/>
      <w:lvlJc w:val="left"/>
      <w:pPr>
        <w:ind w:left="2293" w:hanging="284"/>
      </w:pPr>
      <w:rPr>
        <w:rFonts w:hint="default"/>
        <w:lang w:val="ru-RU" w:eastAsia="en-US" w:bidi="ar-SA"/>
      </w:rPr>
    </w:lvl>
    <w:lvl w:ilvl="3" w:tplc="B290CF64">
      <w:numFmt w:val="bullet"/>
      <w:lvlText w:val="•"/>
      <w:lvlJc w:val="left"/>
      <w:pPr>
        <w:ind w:left="3239" w:hanging="284"/>
      </w:pPr>
      <w:rPr>
        <w:rFonts w:hint="default"/>
        <w:lang w:val="ru-RU" w:eastAsia="en-US" w:bidi="ar-SA"/>
      </w:rPr>
    </w:lvl>
    <w:lvl w:ilvl="4" w:tplc="AF68C712">
      <w:numFmt w:val="bullet"/>
      <w:lvlText w:val="•"/>
      <w:lvlJc w:val="left"/>
      <w:pPr>
        <w:ind w:left="4186" w:hanging="284"/>
      </w:pPr>
      <w:rPr>
        <w:rFonts w:hint="default"/>
        <w:lang w:val="ru-RU" w:eastAsia="en-US" w:bidi="ar-SA"/>
      </w:rPr>
    </w:lvl>
    <w:lvl w:ilvl="5" w:tplc="AC0850DE">
      <w:numFmt w:val="bullet"/>
      <w:lvlText w:val="•"/>
      <w:lvlJc w:val="left"/>
      <w:pPr>
        <w:ind w:left="5133" w:hanging="284"/>
      </w:pPr>
      <w:rPr>
        <w:rFonts w:hint="default"/>
        <w:lang w:val="ru-RU" w:eastAsia="en-US" w:bidi="ar-SA"/>
      </w:rPr>
    </w:lvl>
    <w:lvl w:ilvl="6" w:tplc="DF06A594">
      <w:numFmt w:val="bullet"/>
      <w:lvlText w:val="•"/>
      <w:lvlJc w:val="left"/>
      <w:pPr>
        <w:ind w:left="6079" w:hanging="284"/>
      </w:pPr>
      <w:rPr>
        <w:rFonts w:hint="default"/>
        <w:lang w:val="ru-RU" w:eastAsia="en-US" w:bidi="ar-SA"/>
      </w:rPr>
    </w:lvl>
    <w:lvl w:ilvl="7" w:tplc="CA42C7D6">
      <w:numFmt w:val="bullet"/>
      <w:lvlText w:val="•"/>
      <w:lvlJc w:val="left"/>
      <w:pPr>
        <w:ind w:left="7026" w:hanging="284"/>
      </w:pPr>
      <w:rPr>
        <w:rFonts w:hint="default"/>
        <w:lang w:val="ru-RU" w:eastAsia="en-US" w:bidi="ar-SA"/>
      </w:rPr>
    </w:lvl>
    <w:lvl w:ilvl="8" w:tplc="E774EB68">
      <w:numFmt w:val="bullet"/>
      <w:lvlText w:val="•"/>
      <w:lvlJc w:val="left"/>
      <w:pPr>
        <w:ind w:left="7973" w:hanging="284"/>
      </w:pPr>
      <w:rPr>
        <w:rFonts w:hint="default"/>
        <w:lang w:val="ru-RU" w:eastAsia="en-US" w:bidi="ar-SA"/>
      </w:rPr>
    </w:lvl>
  </w:abstractNum>
  <w:abstractNum w:abstractNumId="6" w15:restartNumberingAfterBreak="0">
    <w:nsid w:val="3C013B94"/>
    <w:multiLevelType w:val="hybridMultilevel"/>
    <w:tmpl w:val="CDA6CD90"/>
    <w:lvl w:ilvl="0" w:tplc="F7F2AD4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44B16F3E"/>
    <w:multiLevelType w:val="multilevel"/>
    <w:tmpl w:val="F4BA1A06"/>
    <w:lvl w:ilvl="0">
      <w:start w:val="6"/>
      <w:numFmt w:val="decimal"/>
      <w:lvlText w:val="%1."/>
      <w:lvlJc w:val="left"/>
      <w:pPr>
        <w:ind w:left="360" w:hanging="36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758" w:hanging="180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8" w15:restartNumberingAfterBreak="0">
    <w:nsid w:val="4E9B46FE"/>
    <w:multiLevelType w:val="hybridMultilevel"/>
    <w:tmpl w:val="EB8E2EC2"/>
    <w:lvl w:ilvl="0" w:tplc="3E8E2794">
      <w:start w:val="1"/>
      <w:numFmt w:val="decimal"/>
      <w:lvlText w:val="%1."/>
      <w:lvlJc w:val="left"/>
      <w:pPr>
        <w:ind w:left="712" w:hanging="428"/>
        <w:jc w:val="left"/>
      </w:pPr>
      <w:rPr>
        <w:rFonts w:ascii="Times New Roman" w:eastAsia="Times New Roman" w:hAnsi="Times New Roman" w:cs="Times New Roman" w:hint="default"/>
        <w:w w:val="100"/>
        <w:sz w:val="22"/>
        <w:szCs w:val="22"/>
        <w:lang w:val="ru-RU" w:eastAsia="en-US" w:bidi="ar-SA"/>
      </w:rPr>
    </w:lvl>
    <w:lvl w:ilvl="1" w:tplc="BF780C68">
      <w:numFmt w:val="bullet"/>
      <w:lvlText w:val="•"/>
      <w:lvlJc w:val="left"/>
      <w:pPr>
        <w:ind w:left="1094" w:hanging="428"/>
      </w:pPr>
      <w:rPr>
        <w:rFonts w:hint="default"/>
        <w:lang w:val="ru-RU" w:eastAsia="en-US" w:bidi="ar-SA"/>
      </w:rPr>
    </w:lvl>
    <w:lvl w:ilvl="2" w:tplc="738C304E">
      <w:numFmt w:val="bullet"/>
      <w:lvlText w:val="•"/>
      <w:lvlJc w:val="left"/>
      <w:pPr>
        <w:ind w:left="2069" w:hanging="428"/>
      </w:pPr>
      <w:rPr>
        <w:rFonts w:hint="default"/>
        <w:lang w:val="ru-RU" w:eastAsia="en-US" w:bidi="ar-SA"/>
      </w:rPr>
    </w:lvl>
    <w:lvl w:ilvl="3" w:tplc="9FC0121E">
      <w:numFmt w:val="bullet"/>
      <w:lvlText w:val="•"/>
      <w:lvlJc w:val="left"/>
      <w:pPr>
        <w:ind w:left="3043" w:hanging="428"/>
      </w:pPr>
      <w:rPr>
        <w:rFonts w:hint="default"/>
        <w:lang w:val="ru-RU" w:eastAsia="en-US" w:bidi="ar-SA"/>
      </w:rPr>
    </w:lvl>
    <w:lvl w:ilvl="4" w:tplc="6EECB9E8">
      <w:numFmt w:val="bullet"/>
      <w:lvlText w:val="•"/>
      <w:lvlJc w:val="left"/>
      <w:pPr>
        <w:ind w:left="4018" w:hanging="428"/>
      </w:pPr>
      <w:rPr>
        <w:rFonts w:hint="default"/>
        <w:lang w:val="ru-RU" w:eastAsia="en-US" w:bidi="ar-SA"/>
      </w:rPr>
    </w:lvl>
    <w:lvl w:ilvl="5" w:tplc="AE0C959C">
      <w:numFmt w:val="bullet"/>
      <w:lvlText w:val="•"/>
      <w:lvlJc w:val="left"/>
      <w:pPr>
        <w:ind w:left="4993" w:hanging="428"/>
      </w:pPr>
      <w:rPr>
        <w:rFonts w:hint="default"/>
        <w:lang w:val="ru-RU" w:eastAsia="en-US" w:bidi="ar-SA"/>
      </w:rPr>
    </w:lvl>
    <w:lvl w:ilvl="6" w:tplc="0AA601C6">
      <w:numFmt w:val="bullet"/>
      <w:lvlText w:val="•"/>
      <w:lvlJc w:val="left"/>
      <w:pPr>
        <w:ind w:left="5967" w:hanging="428"/>
      </w:pPr>
      <w:rPr>
        <w:rFonts w:hint="default"/>
        <w:lang w:val="ru-RU" w:eastAsia="en-US" w:bidi="ar-SA"/>
      </w:rPr>
    </w:lvl>
    <w:lvl w:ilvl="7" w:tplc="63C86FB8">
      <w:numFmt w:val="bullet"/>
      <w:lvlText w:val="•"/>
      <w:lvlJc w:val="left"/>
      <w:pPr>
        <w:ind w:left="6942" w:hanging="428"/>
      </w:pPr>
      <w:rPr>
        <w:rFonts w:hint="default"/>
        <w:lang w:val="ru-RU" w:eastAsia="en-US" w:bidi="ar-SA"/>
      </w:rPr>
    </w:lvl>
    <w:lvl w:ilvl="8" w:tplc="41B2AACA">
      <w:numFmt w:val="bullet"/>
      <w:lvlText w:val="•"/>
      <w:lvlJc w:val="left"/>
      <w:pPr>
        <w:ind w:left="7917" w:hanging="428"/>
      </w:pPr>
      <w:rPr>
        <w:rFonts w:hint="default"/>
        <w:lang w:val="ru-RU" w:eastAsia="en-US" w:bidi="ar-SA"/>
      </w:rPr>
    </w:lvl>
  </w:abstractNum>
  <w:abstractNum w:abstractNumId="9" w15:restartNumberingAfterBreak="0">
    <w:nsid w:val="53C86146"/>
    <w:multiLevelType w:val="multilevel"/>
    <w:tmpl w:val="0938051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9575"/>
        </w:tabs>
        <w:ind w:left="9575"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55D63AA0"/>
    <w:multiLevelType w:val="multilevel"/>
    <w:tmpl w:val="8C10E92A"/>
    <w:lvl w:ilvl="0">
      <w:start w:val="5"/>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1" w15:restartNumberingAfterBreak="0">
    <w:nsid w:val="61B239F7"/>
    <w:multiLevelType w:val="multilevel"/>
    <w:tmpl w:val="EE9A1618"/>
    <w:lvl w:ilvl="0">
      <w:start w:val="6"/>
      <w:numFmt w:val="decimal"/>
      <w:lvlText w:val="%1."/>
      <w:lvlJc w:val="left"/>
      <w:pPr>
        <w:ind w:left="360" w:hanging="360"/>
      </w:pPr>
      <w:rPr>
        <w:rFonts w:hint="default"/>
      </w:rPr>
    </w:lvl>
    <w:lvl w:ilvl="1">
      <w:start w:val="1"/>
      <w:numFmt w:val="decimal"/>
      <w:lvlText w:val="%1.%2."/>
      <w:lvlJc w:val="left"/>
      <w:pPr>
        <w:ind w:left="1866" w:hanging="72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518" w:hanging="108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7170" w:hanging="1440"/>
      </w:pPr>
      <w:rPr>
        <w:rFonts w:hint="default"/>
      </w:rPr>
    </w:lvl>
    <w:lvl w:ilvl="6">
      <w:start w:val="1"/>
      <w:numFmt w:val="decimal"/>
      <w:lvlText w:val="%1.%2.%3.%4.%5.%6.%7."/>
      <w:lvlJc w:val="left"/>
      <w:pPr>
        <w:ind w:left="8676" w:hanging="1800"/>
      </w:pPr>
      <w:rPr>
        <w:rFonts w:hint="default"/>
      </w:rPr>
    </w:lvl>
    <w:lvl w:ilvl="7">
      <w:start w:val="1"/>
      <w:numFmt w:val="decimal"/>
      <w:lvlText w:val="%1.%2.%3.%4.%5.%6.%7.%8."/>
      <w:lvlJc w:val="left"/>
      <w:pPr>
        <w:ind w:left="9822" w:hanging="1800"/>
      </w:pPr>
      <w:rPr>
        <w:rFonts w:hint="default"/>
      </w:rPr>
    </w:lvl>
    <w:lvl w:ilvl="8">
      <w:start w:val="1"/>
      <w:numFmt w:val="decimal"/>
      <w:lvlText w:val="%1.%2.%3.%4.%5.%6.%7.%8.%9."/>
      <w:lvlJc w:val="left"/>
      <w:pPr>
        <w:ind w:left="11328" w:hanging="2160"/>
      </w:pPr>
      <w:rPr>
        <w:rFonts w:hint="default"/>
      </w:rPr>
    </w:lvl>
  </w:abstractNum>
  <w:abstractNum w:abstractNumId="12" w15:restartNumberingAfterBreak="0">
    <w:nsid w:val="66C43137"/>
    <w:multiLevelType w:val="hybridMultilevel"/>
    <w:tmpl w:val="64DA721A"/>
    <w:lvl w:ilvl="0" w:tplc="B56C68A4">
      <w:start w:val="1"/>
      <w:numFmt w:val="decimal"/>
      <w:lvlText w:val="%1."/>
      <w:lvlJc w:val="left"/>
      <w:pPr>
        <w:ind w:left="712" w:hanging="428"/>
        <w:jc w:val="left"/>
      </w:pPr>
      <w:rPr>
        <w:rFonts w:ascii="Times New Roman" w:eastAsia="Times New Roman" w:hAnsi="Times New Roman" w:cs="Times New Roman" w:hint="default"/>
        <w:w w:val="100"/>
        <w:sz w:val="24"/>
        <w:szCs w:val="24"/>
        <w:lang w:val="ru-RU" w:eastAsia="en-US" w:bidi="ar-SA"/>
      </w:rPr>
    </w:lvl>
    <w:lvl w:ilvl="1" w:tplc="BF780C68">
      <w:numFmt w:val="bullet"/>
      <w:lvlText w:val="•"/>
      <w:lvlJc w:val="left"/>
      <w:pPr>
        <w:ind w:left="1094" w:hanging="428"/>
      </w:pPr>
      <w:rPr>
        <w:rFonts w:hint="default"/>
        <w:lang w:val="ru-RU" w:eastAsia="en-US" w:bidi="ar-SA"/>
      </w:rPr>
    </w:lvl>
    <w:lvl w:ilvl="2" w:tplc="738C304E">
      <w:numFmt w:val="bullet"/>
      <w:lvlText w:val="•"/>
      <w:lvlJc w:val="left"/>
      <w:pPr>
        <w:ind w:left="2069" w:hanging="428"/>
      </w:pPr>
      <w:rPr>
        <w:rFonts w:hint="default"/>
        <w:lang w:val="ru-RU" w:eastAsia="en-US" w:bidi="ar-SA"/>
      </w:rPr>
    </w:lvl>
    <w:lvl w:ilvl="3" w:tplc="9FC0121E">
      <w:numFmt w:val="bullet"/>
      <w:lvlText w:val="•"/>
      <w:lvlJc w:val="left"/>
      <w:pPr>
        <w:ind w:left="3043" w:hanging="428"/>
      </w:pPr>
      <w:rPr>
        <w:rFonts w:hint="default"/>
        <w:lang w:val="ru-RU" w:eastAsia="en-US" w:bidi="ar-SA"/>
      </w:rPr>
    </w:lvl>
    <w:lvl w:ilvl="4" w:tplc="6EECB9E8">
      <w:numFmt w:val="bullet"/>
      <w:lvlText w:val="•"/>
      <w:lvlJc w:val="left"/>
      <w:pPr>
        <w:ind w:left="4018" w:hanging="428"/>
      </w:pPr>
      <w:rPr>
        <w:rFonts w:hint="default"/>
        <w:lang w:val="ru-RU" w:eastAsia="en-US" w:bidi="ar-SA"/>
      </w:rPr>
    </w:lvl>
    <w:lvl w:ilvl="5" w:tplc="AE0C959C">
      <w:numFmt w:val="bullet"/>
      <w:lvlText w:val="•"/>
      <w:lvlJc w:val="left"/>
      <w:pPr>
        <w:ind w:left="4993" w:hanging="428"/>
      </w:pPr>
      <w:rPr>
        <w:rFonts w:hint="default"/>
        <w:lang w:val="ru-RU" w:eastAsia="en-US" w:bidi="ar-SA"/>
      </w:rPr>
    </w:lvl>
    <w:lvl w:ilvl="6" w:tplc="0AA601C6">
      <w:numFmt w:val="bullet"/>
      <w:lvlText w:val="•"/>
      <w:lvlJc w:val="left"/>
      <w:pPr>
        <w:ind w:left="5967" w:hanging="428"/>
      </w:pPr>
      <w:rPr>
        <w:rFonts w:hint="default"/>
        <w:lang w:val="ru-RU" w:eastAsia="en-US" w:bidi="ar-SA"/>
      </w:rPr>
    </w:lvl>
    <w:lvl w:ilvl="7" w:tplc="63C86FB8">
      <w:numFmt w:val="bullet"/>
      <w:lvlText w:val="•"/>
      <w:lvlJc w:val="left"/>
      <w:pPr>
        <w:ind w:left="6942" w:hanging="428"/>
      </w:pPr>
      <w:rPr>
        <w:rFonts w:hint="default"/>
        <w:lang w:val="ru-RU" w:eastAsia="en-US" w:bidi="ar-SA"/>
      </w:rPr>
    </w:lvl>
    <w:lvl w:ilvl="8" w:tplc="41B2AACA">
      <w:numFmt w:val="bullet"/>
      <w:lvlText w:val="•"/>
      <w:lvlJc w:val="left"/>
      <w:pPr>
        <w:ind w:left="7917" w:hanging="428"/>
      </w:pPr>
      <w:rPr>
        <w:rFonts w:hint="default"/>
        <w:lang w:val="ru-RU" w:eastAsia="en-US" w:bidi="ar-SA"/>
      </w:rPr>
    </w:lvl>
  </w:abstractNum>
  <w:abstractNum w:abstractNumId="13" w15:restartNumberingAfterBreak="0">
    <w:nsid w:val="6DF77DB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F167956"/>
    <w:multiLevelType w:val="hybridMultilevel"/>
    <w:tmpl w:val="6D420236"/>
    <w:lvl w:ilvl="0" w:tplc="B6FA1BAE">
      <w:numFmt w:val="bullet"/>
      <w:lvlText w:val=""/>
      <w:lvlJc w:val="left"/>
      <w:pPr>
        <w:ind w:left="118" w:hanging="428"/>
        <w:jc w:val="left"/>
      </w:pPr>
      <w:rPr>
        <w:rFonts w:ascii="Symbol" w:eastAsia="Symbol" w:hAnsi="Symbol" w:cs="Symbol" w:hint="default"/>
        <w:w w:val="100"/>
        <w:sz w:val="24"/>
        <w:szCs w:val="24"/>
        <w:lang w:val="ru-RU" w:eastAsia="en-US" w:bidi="ar-SA"/>
      </w:rPr>
    </w:lvl>
    <w:lvl w:ilvl="1" w:tplc="BF780C68">
      <w:numFmt w:val="bullet"/>
      <w:lvlText w:val="•"/>
      <w:lvlJc w:val="left"/>
      <w:pPr>
        <w:ind w:left="1094" w:hanging="428"/>
      </w:pPr>
      <w:rPr>
        <w:rFonts w:hint="default"/>
        <w:lang w:val="ru-RU" w:eastAsia="en-US" w:bidi="ar-SA"/>
      </w:rPr>
    </w:lvl>
    <w:lvl w:ilvl="2" w:tplc="738C304E">
      <w:numFmt w:val="bullet"/>
      <w:lvlText w:val="•"/>
      <w:lvlJc w:val="left"/>
      <w:pPr>
        <w:ind w:left="2069" w:hanging="428"/>
      </w:pPr>
      <w:rPr>
        <w:rFonts w:hint="default"/>
        <w:lang w:val="ru-RU" w:eastAsia="en-US" w:bidi="ar-SA"/>
      </w:rPr>
    </w:lvl>
    <w:lvl w:ilvl="3" w:tplc="9FC0121E">
      <w:numFmt w:val="bullet"/>
      <w:lvlText w:val="•"/>
      <w:lvlJc w:val="left"/>
      <w:pPr>
        <w:ind w:left="3043" w:hanging="428"/>
      </w:pPr>
      <w:rPr>
        <w:rFonts w:hint="default"/>
        <w:lang w:val="ru-RU" w:eastAsia="en-US" w:bidi="ar-SA"/>
      </w:rPr>
    </w:lvl>
    <w:lvl w:ilvl="4" w:tplc="6EECB9E8">
      <w:numFmt w:val="bullet"/>
      <w:lvlText w:val="•"/>
      <w:lvlJc w:val="left"/>
      <w:pPr>
        <w:ind w:left="4018" w:hanging="428"/>
      </w:pPr>
      <w:rPr>
        <w:rFonts w:hint="default"/>
        <w:lang w:val="ru-RU" w:eastAsia="en-US" w:bidi="ar-SA"/>
      </w:rPr>
    </w:lvl>
    <w:lvl w:ilvl="5" w:tplc="AE0C959C">
      <w:numFmt w:val="bullet"/>
      <w:lvlText w:val="•"/>
      <w:lvlJc w:val="left"/>
      <w:pPr>
        <w:ind w:left="4993" w:hanging="428"/>
      </w:pPr>
      <w:rPr>
        <w:rFonts w:hint="default"/>
        <w:lang w:val="ru-RU" w:eastAsia="en-US" w:bidi="ar-SA"/>
      </w:rPr>
    </w:lvl>
    <w:lvl w:ilvl="6" w:tplc="0AA601C6">
      <w:numFmt w:val="bullet"/>
      <w:lvlText w:val="•"/>
      <w:lvlJc w:val="left"/>
      <w:pPr>
        <w:ind w:left="5967" w:hanging="428"/>
      </w:pPr>
      <w:rPr>
        <w:rFonts w:hint="default"/>
        <w:lang w:val="ru-RU" w:eastAsia="en-US" w:bidi="ar-SA"/>
      </w:rPr>
    </w:lvl>
    <w:lvl w:ilvl="7" w:tplc="63C86FB8">
      <w:numFmt w:val="bullet"/>
      <w:lvlText w:val="•"/>
      <w:lvlJc w:val="left"/>
      <w:pPr>
        <w:ind w:left="6942" w:hanging="428"/>
      </w:pPr>
      <w:rPr>
        <w:rFonts w:hint="default"/>
        <w:lang w:val="ru-RU" w:eastAsia="en-US" w:bidi="ar-SA"/>
      </w:rPr>
    </w:lvl>
    <w:lvl w:ilvl="8" w:tplc="41B2AACA">
      <w:numFmt w:val="bullet"/>
      <w:lvlText w:val="•"/>
      <w:lvlJc w:val="left"/>
      <w:pPr>
        <w:ind w:left="7917" w:hanging="428"/>
      </w:pPr>
      <w:rPr>
        <w:rFonts w:hint="default"/>
        <w:lang w:val="ru-RU" w:eastAsia="en-US" w:bidi="ar-SA"/>
      </w:rPr>
    </w:lvl>
  </w:abstractNum>
  <w:abstractNum w:abstractNumId="15" w15:restartNumberingAfterBreak="0">
    <w:nsid w:val="76DE7625"/>
    <w:multiLevelType w:val="multilevel"/>
    <w:tmpl w:val="17E40786"/>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num w:numId="1">
    <w:abstractNumId w:val="5"/>
  </w:num>
  <w:num w:numId="2">
    <w:abstractNumId w:val="8"/>
  </w:num>
  <w:num w:numId="3">
    <w:abstractNumId w:val="9"/>
  </w:num>
  <w:num w:numId="4">
    <w:abstractNumId w:val="14"/>
  </w:num>
  <w:num w:numId="5">
    <w:abstractNumId w:val="12"/>
  </w:num>
  <w:num w:numId="6">
    <w:abstractNumId w:val="3"/>
  </w:num>
  <w:num w:numId="7">
    <w:abstractNumId w:val="6"/>
  </w:num>
  <w:num w:numId="8">
    <w:abstractNumId w:val="1"/>
  </w:num>
  <w:num w:numId="9">
    <w:abstractNumId w:val="13"/>
  </w:num>
  <w:num w:numId="10">
    <w:abstractNumId w:val="10"/>
  </w:num>
  <w:num w:numId="11">
    <w:abstractNumId w:val="7"/>
  </w:num>
  <w:num w:numId="12">
    <w:abstractNumId w:val="11"/>
  </w:num>
  <w:num w:numId="13">
    <w:abstractNumId w:val="4"/>
  </w:num>
  <w:num w:numId="14">
    <w:abstractNumId w:val="0"/>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2BF"/>
    <w:rsid w:val="00027240"/>
    <w:rsid w:val="0006255E"/>
    <w:rsid w:val="0018542B"/>
    <w:rsid w:val="001F4DB2"/>
    <w:rsid w:val="00310C52"/>
    <w:rsid w:val="00345056"/>
    <w:rsid w:val="00384CDF"/>
    <w:rsid w:val="003F5B6E"/>
    <w:rsid w:val="0045269D"/>
    <w:rsid w:val="004F230A"/>
    <w:rsid w:val="005C25AA"/>
    <w:rsid w:val="005D2EF8"/>
    <w:rsid w:val="005D74E4"/>
    <w:rsid w:val="006005DF"/>
    <w:rsid w:val="00663468"/>
    <w:rsid w:val="006B4073"/>
    <w:rsid w:val="00713852"/>
    <w:rsid w:val="007458E6"/>
    <w:rsid w:val="007C52BF"/>
    <w:rsid w:val="0083437F"/>
    <w:rsid w:val="008614D4"/>
    <w:rsid w:val="008C3181"/>
    <w:rsid w:val="009346B6"/>
    <w:rsid w:val="009473AD"/>
    <w:rsid w:val="0097140C"/>
    <w:rsid w:val="009A3872"/>
    <w:rsid w:val="00A206E6"/>
    <w:rsid w:val="00A904CA"/>
    <w:rsid w:val="00A9649A"/>
    <w:rsid w:val="00B70689"/>
    <w:rsid w:val="00C44067"/>
    <w:rsid w:val="00CB5CD5"/>
    <w:rsid w:val="00CC5E78"/>
    <w:rsid w:val="00D87EA8"/>
    <w:rsid w:val="00DB7481"/>
    <w:rsid w:val="00DC3786"/>
    <w:rsid w:val="00E905A8"/>
    <w:rsid w:val="00F86A7A"/>
    <w:rsid w:val="00F9619B"/>
    <w:rsid w:val="00F97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756A3"/>
  <w15:docId w15:val="{3F0EB232-AFA8-4031-9F2F-9AC05189A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jc w:val="both"/>
    </w:pPr>
    <w:rPr>
      <w:sz w:val="24"/>
      <w:szCs w:val="24"/>
    </w:rPr>
  </w:style>
  <w:style w:type="paragraph" w:styleId="a4">
    <w:name w:val="Title"/>
    <w:basedOn w:val="a"/>
    <w:uiPriority w:val="1"/>
    <w:qFormat/>
    <w:pPr>
      <w:ind w:left="1280" w:right="1274"/>
      <w:jc w:val="center"/>
    </w:pPr>
    <w:rPr>
      <w:b/>
      <w:bCs/>
      <w:sz w:val="24"/>
      <w:szCs w:val="24"/>
    </w:rPr>
  </w:style>
  <w:style w:type="paragraph" w:styleId="a5">
    <w:name w:val="List Paragraph"/>
    <w:basedOn w:val="a"/>
    <w:uiPriority w:val="34"/>
    <w:qFormat/>
    <w:pPr>
      <w:ind w:left="118"/>
      <w:jc w:val="both"/>
    </w:pPr>
  </w:style>
  <w:style w:type="paragraph" w:customStyle="1" w:styleId="TableParagraph">
    <w:name w:val="Table Paragraph"/>
    <w:basedOn w:val="a"/>
    <w:uiPriority w:val="1"/>
    <w:qFormat/>
  </w:style>
  <w:style w:type="paragraph" w:styleId="a6">
    <w:name w:val="header"/>
    <w:basedOn w:val="a"/>
    <w:link w:val="a7"/>
    <w:rsid w:val="00713852"/>
    <w:pPr>
      <w:widowControl/>
      <w:tabs>
        <w:tab w:val="center" w:pos="4677"/>
        <w:tab w:val="right" w:pos="9355"/>
      </w:tabs>
      <w:autoSpaceDE/>
      <w:autoSpaceDN/>
    </w:pPr>
    <w:rPr>
      <w:sz w:val="24"/>
      <w:szCs w:val="24"/>
      <w:lang w:eastAsia="ru-RU"/>
    </w:rPr>
  </w:style>
  <w:style w:type="character" w:customStyle="1" w:styleId="a7">
    <w:name w:val="Верхний колонтитул Знак"/>
    <w:basedOn w:val="a0"/>
    <w:link w:val="a6"/>
    <w:rsid w:val="00713852"/>
    <w:rPr>
      <w:rFonts w:ascii="Times New Roman" w:eastAsia="Times New Roman" w:hAnsi="Times New Roman" w:cs="Times New Roman"/>
      <w:sz w:val="24"/>
      <w:szCs w:val="24"/>
      <w:lang w:val="ru-RU" w:eastAsia="ru-RU"/>
    </w:rPr>
  </w:style>
  <w:style w:type="paragraph" w:styleId="a8">
    <w:name w:val="footer"/>
    <w:basedOn w:val="a"/>
    <w:link w:val="a9"/>
    <w:uiPriority w:val="99"/>
    <w:unhideWhenUsed/>
    <w:rsid w:val="00D87EA8"/>
    <w:pPr>
      <w:tabs>
        <w:tab w:val="center" w:pos="4677"/>
        <w:tab w:val="right" w:pos="9355"/>
      </w:tabs>
    </w:pPr>
  </w:style>
  <w:style w:type="character" w:customStyle="1" w:styleId="a9">
    <w:name w:val="Нижний колонтитул Знак"/>
    <w:basedOn w:val="a0"/>
    <w:link w:val="a8"/>
    <w:uiPriority w:val="99"/>
    <w:rsid w:val="00D87EA8"/>
    <w:rPr>
      <w:rFonts w:ascii="Times New Roman" w:eastAsia="Times New Roman" w:hAnsi="Times New Roman" w:cs="Times New Roman"/>
      <w:lang w:val="ru-RU"/>
    </w:rPr>
  </w:style>
  <w:style w:type="paragraph" w:styleId="aa">
    <w:name w:val="Balloon Text"/>
    <w:basedOn w:val="a"/>
    <w:link w:val="ab"/>
    <w:uiPriority w:val="99"/>
    <w:semiHidden/>
    <w:unhideWhenUsed/>
    <w:rsid w:val="00384CDF"/>
    <w:rPr>
      <w:rFonts w:ascii="Segoe UI" w:hAnsi="Segoe UI" w:cs="Segoe UI"/>
      <w:sz w:val="18"/>
      <w:szCs w:val="18"/>
    </w:rPr>
  </w:style>
  <w:style w:type="character" w:customStyle="1" w:styleId="ab">
    <w:name w:val="Текст выноски Знак"/>
    <w:basedOn w:val="a0"/>
    <w:link w:val="aa"/>
    <w:uiPriority w:val="99"/>
    <w:semiHidden/>
    <w:rsid w:val="00384CDF"/>
    <w:rPr>
      <w:rFonts w:ascii="Segoe UI" w:eastAsia="Times New Roman" w:hAnsi="Segoe UI" w:cs="Segoe UI"/>
      <w:sz w:val="18"/>
      <w:szCs w:val="18"/>
      <w:lang w:val="ru-RU"/>
    </w:rPr>
  </w:style>
  <w:style w:type="paragraph" w:styleId="ac">
    <w:name w:val="Plain Text"/>
    <w:basedOn w:val="a"/>
    <w:link w:val="ad"/>
    <w:uiPriority w:val="99"/>
    <w:semiHidden/>
    <w:unhideWhenUsed/>
    <w:rsid w:val="008614D4"/>
    <w:pPr>
      <w:widowControl/>
      <w:autoSpaceDE/>
      <w:autoSpaceDN/>
    </w:pPr>
    <w:rPr>
      <w:rFonts w:ascii="Consolas" w:eastAsiaTheme="minorHAnsi" w:hAnsi="Consolas" w:cstheme="minorBidi"/>
      <w:sz w:val="21"/>
      <w:szCs w:val="21"/>
    </w:rPr>
  </w:style>
  <w:style w:type="character" w:customStyle="1" w:styleId="ad">
    <w:name w:val="Текст Знак"/>
    <w:basedOn w:val="a0"/>
    <w:link w:val="ac"/>
    <w:uiPriority w:val="99"/>
    <w:semiHidden/>
    <w:rsid w:val="008614D4"/>
    <w:rPr>
      <w:rFonts w:ascii="Consolas" w:hAnsi="Consolas"/>
      <w:sz w:val="21"/>
      <w:szCs w:val="21"/>
      <w:lang w:val="ru-RU"/>
    </w:rPr>
  </w:style>
  <w:style w:type="numbering" w:customStyle="1" w:styleId="2">
    <w:name w:val="Стиль2"/>
    <w:uiPriority w:val="99"/>
    <w:rsid w:val="008614D4"/>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479&amp;dst=10019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389479" TargetMode="External"/><Relationship Id="rId12" Type="http://schemas.openxmlformats.org/officeDocument/2006/relationships/hyperlink" Target="consultantplus://offline/ref=6A266E345A03E5D905ADCB42ECCA94E0885352EF2346B3A4A0C25CBDDDE9ECFE2E032D428E547DF28510A7BC9AVE1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66493&amp;dst=1038"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ogin.consultant.ru/link/?req=doc&amp;base=LAW&amp;n=449887&amp;date=13.06.202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49887&amp;dst=10017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1569</Words>
  <Characters>8947</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TV</dc:creator>
  <cp:lastModifiedBy>Грищенко Екатерина Викторовна</cp:lastModifiedBy>
  <cp:revision>20</cp:revision>
  <cp:lastPrinted>2022-04-03T11:40:00Z</cp:lastPrinted>
  <dcterms:created xsi:type="dcterms:W3CDTF">2024-06-06T12:11:00Z</dcterms:created>
  <dcterms:modified xsi:type="dcterms:W3CDTF">2024-07-01T07:56:00Z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2022-04-01T00:00:00Z</vt:filetime>
  </property>
  <property fmtid="{D5CDD505-2E9C-101B-9397-08002B2CF9AE}" pid="3" name="Creator">
    <vt:lpwstr>Microsoft® Word 2016</vt:lpwstr>
  </property>
  <property fmtid="{D5CDD505-2E9C-101B-9397-08002B2CF9AE}" pid="4" name="LastSaved">
    <vt:filetime>2022-04-03T00:00:00Z</vt:filetime>
  </property>
</Properties>
</file>